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0377" w14:textId="77777777" w:rsidR="00826045" w:rsidRPr="00826045" w:rsidRDefault="00826045" w:rsidP="00826045">
      <w:pPr>
        <w:rPr>
          <w:rFonts w:ascii="Titillium Web" w:hAnsi="Titillium Web"/>
          <w:b/>
          <w:bCs/>
          <w:sz w:val="28"/>
          <w:szCs w:val="28"/>
        </w:rPr>
      </w:pPr>
    </w:p>
    <w:p w14:paraId="5CE8C35F" w14:textId="77777777" w:rsidR="00826045" w:rsidRDefault="00826045" w:rsidP="00826045">
      <w:pPr>
        <w:rPr>
          <w:rFonts w:ascii="Titillium Web" w:hAnsi="Titillium Web"/>
          <w:b/>
          <w:bCs/>
          <w:sz w:val="28"/>
          <w:szCs w:val="28"/>
        </w:rPr>
      </w:pPr>
    </w:p>
    <w:p w14:paraId="689BF6DD" w14:textId="77777777" w:rsidR="00826045" w:rsidRPr="00826045" w:rsidRDefault="00826045" w:rsidP="00826045">
      <w:pPr>
        <w:rPr>
          <w:rFonts w:ascii="Titillium Web" w:hAnsi="Titillium Web"/>
          <w:b/>
          <w:bCs/>
          <w:sz w:val="28"/>
          <w:szCs w:val="28"/>
        </w:rPr>
      </w:pPr>
    </w:p>
    <w:p w14:paraId="425A76F1" w14:textId="77777777" w:rsidR="00826045" w:rsidRPr="00826045" w:rsidRDefault="00826045" w:rsidP="00826045">
      <w:pPr>
        <w:rPr>
          <w:rFonts w:ascii="Titillium Web" w:hAnsi="Titillium Web"/>
          <w:b/>
          <w:bCs/>
          <w:sz w:val="28"/>
          <w:szCs w:val="28"/>
        </w:rPr>
      </w:pPr>
    </w:p>
    <w:p w14:paraId="2391E2A7" w14:textId="77777777" w:rsidR="00826045" w:rsidRPr="00826045" w:rsidRDefault="00826045" w:rsidP="00826045">
      <w:pPr>
        <w:rPr>
          <w:rFonts w:ascii="Titillium Web" w:hAnsi="Titillium Web"/>
          <w:color w:val="0070C0"/>
          <w:sz w:val="40"/>
          <w:szCs w:val="40"/>
        </w:rPr>
      </w:pPr>
      <w:r w:rsidRPr="00826045">
        <w:rPr>
          <w:rFonts w:ascii="Titillium Web" w:hAnsi="Titillium Web"/>
          <w:color w:val="0070C0"/>
          <w:sz w:val="40"/>
          <w:szCs w:val="40"/>
        </w:rPr>
        <w:t>Accountantsprotocol</w:t>
      </w:r>
    </w:p>
    <w:p w14:paraId="2EB0F81C" w14:textId="77777777" w:rsidR="00826045" w:rsidRPr="00826045" w:rsidRDefault="00826045" w:rsidP="00826045">
      <w:pPr>
        <w:rPr>
          <w:rFonts w:ascii="Titillium Web" w:hAnsi="Titillium Web"/>
          <w:b/>
          <w:bCs/>
          <w:sz w:val="28"/>
          <w:szCs w:val="28"/>
        </w:rPr>
      </w:pPr>
      <w:r w:rsidRPr="00826045">
        <w:rPr>
          <w:rFonts w:ascii="Titillium Web" w:hAnsi="Titillium Web"/>
          <w:b/>
          <w:bCs/>
          <w:sz w:val="28"/>
          <w:szCs w:val="28"/>
        </w:rPr>
        <w:t>Eindverantwoording projecten Stichting Agis Innovatiefonds</w:t>
      </w:r>
    </w:p>
    <w:p w14:paraId="562B2309" w14:textId="77777777" w:rsidR="00826045" w:rsidRPr="00826045" w:rsidRDefault="00826045" w:rsidP="00826045">
      <w:pPr>
        <w:rPr>
          <w:rFonts w:ascii="Titillium Web" w:hAnsi="Titillium Web"/>
          <w:b/>
          <w:bCs/>
          <w:sz w:val="28"/>
          <w:szCs w:val="28"/>
        </w:rPr>
      </w:pPr>
    </w:p>
    <w:p w14:paraId="4FEBFA71" w14:textId="77777777" w:rsidR="00826045" w:rsidRPr="00826045" w:rsidRDefault="00826045" w:rsidP="00826045">
      <w:pPr>
        <w:rPr>
          <w:rFonts w:ascii="Titillium Web" w:hAnsi="Titillium Web"/>
          <w:b/>
          <w:bCs/>
          <w:sz w:val="28"/>
          <w:szCs w:val="28"/>
        </w:rPr>
      </w:pPr>
    </w:p>
    <w:p w14:paraId="2AF3A9A7" w14:textId="77777777" w:rsidR="00826045" w:rsidRPr="00826045" w:rsidRDefault="00826045" w:rsidP="00826045">
      <w:pPr>
        <w:rPr>
          <w:rFonts w:ascii="Titillium Web" w:hAnsi="Titillium Web"/>
          <w:b/>
          <w:bCs/>
          <w:sz w:val="28"/>
          <w:szCs w:val="28"/>
        </w:rPr>
      </w:pPr>
    </w:p>
    <w:p w14:paraId="60C03505" w14:textId="77777777" w:rsidR="00826045" w:rsidRPr="00826045" w:rsidRDefault="00826045" w:rsidP="00826045">
      <w:pPr>
        <w:rPr>
          <w:rFonts w:ascii="Titillium Web" w:hAnsi="Titillium Web"/>
          <w:b/>
          <w:bCs/>
          <w:sz w:val="28"/>
          <w:szCs w:val="28"/>
        </w:rPr>
      </w:pPr>
    </w:p>
    <w:p w14:paraId="48BEFA5A" w14:textId="77777777" w:rsidR="00826045" w:rsidRPr="00826045" w:rsidRDefault="00826045" w:rsidP="00826045">
      <w:pPr>
        <w:rPr>
          <w:rFonts w:ascii="Titillium Web" w:hAnsi="Titillium Web"/>
          <w:b/>
          <w:bCs/>
          <w:sz w:val="28"/>
          <w:szCs w:val="28"/>
        </w:rPr>
      </w:pPr>
    </w:p>
    <w:p w14:paraId="619719FF" w14:textId="77777777" w:rsidR="00826045" w:rsidRPr="00826045" w:rsidRDefault="00826045" w:rsidP="00826045">
      <w:pPr>
        <w:rPr>
          <w:rFonts w:ascii="Titillium Web" w:hAnsi="Titillium Web"/>
          <w:b/>
          <w:bCs/>
          <w:sz w:val="28"/>
          <w:szCs w:val="28"/>
        </w:rPr>
      </w:pPr>
    </w:p>
    <w:p w14:paraId="7CCD3A87" w14:textId="77777777" w:rsidR="00826045" w:rsidRDefault="00826045" w:rsidP="00826045">
      <w:pPr>
        <w:rPr>
          <w:rFonts w:ascii="Titillium Web" w:hAnsi="Titillium Web"/>
          <w:b/>
          <w:bCs/>
          <w:sz w:val="28"/>
          <w:szCs w:val="28"/>
        </w:rPr>
      </w:pPr>
    </w:p>
    <w:p w14:paraId="684B46A6" w14:textId="77777777" w:rsidR="00826045" w:rsidRDefault="00826045" w:rsidP="00826045">
      <w:pPr>
        <w:rPr>
          <w:rFonts w:ascii="Titillium Web" w:hAnsi="Titillium Web"/>
          <w:b/>
          <w:bCs/>
          <w:sz w:val="28"/>
          <w:szCs w:val="28"/>
        </w:rPr>
      </w:pPr>
    </w:p>
    <w:p w14:paraId="2AE24704" w14:textId="77777777" w:rsidR="00826045" w:rsidRDefault="00826045" w:rsidP="00826045">
      <w:pPr>
        <w:rPr>
          <w:rFonts w:ascii="Titillium Web" w:hAnsi="Titillium Web"/>
          <w:b/>
          <w:bCs/>
          <w:sz w:val="28"/>
          <w:szCs w:val="28"/>
        </w:rPr>
      </w:pPr>
    </w:p>
    <w:p w14:paraId="45CB2FD5" w14:textId="77777777" w:rsidR="00826045" w:rsidRDefault="00826045" w:rsidP="00826045">
      <w:pPr>
        <w:rPr>
          <w:rFonts w:ascii="Titillium Web" w:hAnsi="Titillium Web"/>
          <w:b/>
          <w:bCs/>
          <w:sz w:val="28"/>
          <w:szCs w:val="28"/>
        </w:rPr>
      </w:pPr>
    </w:p>
    <w:p w14:paraId="1EF6CDE1" w14:textId="77777777" w:rsidR="00826045" w:rsidRPr="00826045" w:rsidRDefault="00826045" w:rsidP="00826045">
      <w:pPr>
        <w:rPr>
          <w:rFonts w:ascii="Titillium Web" w:hAnsi="Titillium Web"/>
          <w:b/>
          <w:bCs/>
          <w:sz w:val="28"/>
          <w:szCs w:val="28"/>
        </w:rPr>
      </w:pPr>
    </w:p>
    <w:p w14:paraId="7D44FFDC" w14:textId="77777777" w:rsidR="00826045" w:rsidRPr="00826045" w:rsidRDefault="00826045" w:rsidP="00826045">
      <w:pPr>
        <w:rPr>
          <w:rFonts w:ascii="Titillium Web" w:hAnsi="Titillium Web"/>
          <w:b/>
          <w:bCs/>
          <w:sz w:val="28"/>
          <w:szCs w:val="28"/>
        </w:rPr>
      </w:pPr>
    </w:p>
    <w:p w14:paraId="5B1893EE" w14:textId="77777777" w:rsidR="00826045" w:rsidRPr="00826045" w:rsidRDefault="00826045" w:rsidP="00826045">
      <w:pPr>
        <w:rPr>
          <w:rFonts w:ascii="Titillium Web" w:hAnsi="Titillium Web"/>
          <w:b/>
          <w:bCs/>
          <w:sz w:val="28"/>
          <w:szCs w:val="28"/>
        </w:rPr>
      </w:pPr>
    </w:p>
    <w:p w14:paraId="58EFF8C9" w14:textId="77777777" w:rsidR="00826045" w:rsidRPr="00826045" w:rsidRDefault="00826045" w:rsidP="00826045">
      <w:pPr>
        <w:rPr>
          <w:rFonts w:ascii="Titillium Web" w:hAnsi="Titillium Web"/>
          <w:b/>
          <w:bCs/>
          <w:sz w:val="28"/>
          <w:szCs w:val="28"/>
        </w:rPr>
      </w:pPr>
    </w:p>
    <w:p w14:paraId="0928235F" w14:textId="77777777" w:rsidR="00826045" w:rsidRPr="00826045" w:rsidRDefault="00826045" w:rsidP="00826045">
      <w:pPr>
        <w:rPr>
          <w:rFonts w:ascii="Titillium Web" w:hAnsi="Titillium Web"/>
          <w:b/>
          <w:bCs/>
          <w:sz w:val="28"/>
          <w:szCs w:val="28"/>
        </w:rPr>
      </w:pPr>
    </w:p>
    <w:p w14:paraId="63E199A6" w14:textId="77777777" w:rsidR="00826045" w:rsidRPr="00826045" w:rsidRDefault="00826045" w:rsidP="00826045">
      <w:pPr>
        <w:rPr>
          <w:rFonts w:ascii="Titillium Web" w:hAnsi="Titillium Web"/>
          <w:b/>
          <w:bCs/>
          <w:sz w:val="28"/>
          <w:szCs w:val="28"/>
        </w:rPr>
      </w:pPr>
    </w:p>
    <w:p w14:paraId="60D0609A" w14:textId="0F09D20D" w:rsidR="00826045" w:rsidRPr="0093790E" w:rsidRDefault="00826045" w:rsidP="00826045">
      <w:pPr>
        <w:rPr>
          <w:rFonts w:ascii="Titillium Web" w:hAnsi="Titillium Web"/>
        </w:rPr>
      </w:pPr>
      <w:r w:rsidRPr="0093790E">
        <w:rPr>
          <w:rFonts w:ascii="Titillium Web" w:hAnsi="Titillium Web"/>
        </w:rPr>
        <w:t xml:space="preserve">Versie </w:t>
      </w:r>
      <w:r w:rsidR="0093790E" w:rsidRPr="0093790E">
        <w:rPr>
          <w:rFonts w:ascii="Titillium Web" w:hAnsi="Titillium Web"/>
        </w:rPr>
        <w:t>2</w:t>
      </w:r>
      <w:r w:rsidRPr="0093790E">
        <w:rPr>
          <w:rFonts w:ascii="Titillium Web" w:hAnsi="Titillium Web"/>
        </w:rPr>
        <w:t xml:space="preserve"> - d.d. </w:t>
      </w:r>
      <w:r w:rsidR="0093790E" w:rsidRPr="0093790E">
        <w:rPr>
          <w:rFonts w:ascii="Titillium Web" w:hAnsi="Titillium Web"/>
        </w:rPr>
        <w:t>28 mei</w:t>
      </w:r>
      <w:r w:rsidRPr="0093790E">
        <w:rPr>
          <w:rFonts w:ascii="Titillium Web" w:hAnsi="Titillium Web"/>
        </w:rPr>
        <w:t xml:space="preserve"> 202</w:t>
      </w:r>
      <w:r w:rsidR="0093790E" w:rsidRPr="0093790E">
        <w:rPr>
          <w:rFonts w:ascii="Titillium Web" w:hAnsi="Titillium Web"/>
        </w:rPr>
        <w:t>4</w:t>
      </w:r>
    </w:p>
    <w:p w14:paraId="3516D1FB" w14:textId="4B4B1755" w:rsidR="00826045" w:rsidRPr="0093790E" w:rsidRDefault="0093790E" w:rsidP="00826045">
      <w:pPr>
        <w:rPr>
          <w:rFonts w:ascii="Titillium Web" w:hAnsi="Titillium Web"/>
        </w:rPr>
      </w:pPr>
      <w:r w:rsidRPr="00E343F5">
        <w:rPr>
          <w:rFonts w:ascii="Titillium Web" w:hAnsi="Titillium Web"/>
        </w:rPr>
        <w:t xml:space="preserve">Van toepassing op initiatieven die na 27 mei 2024 in toewijzingsbrief verplichting tot aanleveren controleverklaring hebben ontvangen. Betreft minimaal </w:t>
      </w:r>
      <w:r w:rsidR="00826045" w:rsidRPr="00E343F5">
        <w:rPr>
          <w:rFonts w:ascii="Titillium Web" w:hAnsi="Titillium Web"/>
        </w:rPr>
        <w:t xml:space="preserve">verleend subsidiebedrag </w:t>
      </w:r>
      <w:r w:rsidRPr="00E343F5">
        <w:rPr>
          <w:rFonts w:ascii="Titillium Web" w:hAnsi="Titillium Web"/>
        </w:rPr>
        <w:t>boven</w:t>
      </w:r>
      <w:r w:rsidR="00826045" w:rsidRPr="00E343F5">
        <w:rPr>
          <w:rFonts w:ascii="Titillium Web" w:hAnsi="Titillium Web"/>
        </w:rPr>
        <w:t xml:space="preserve"> € 50.000</w:t>
      </w:r>
      <w:r w:rsidRPr="00E343F5">
        <w:rPr>
          <w:rFonts w:ascii="Titillium Web" w:hAnsi="Titillium Web"/>
        </w:rPr>
        <w:t>.</w:t>
      </w:r>
      <w:r w:rsidRPr="0093790E">
        <w:rPr>
          <w:rFonts w:ascii="Titillium Web" w:hAnsi="Titillium Web"/>
        </w:rPr>
        <w:t xml:space="preserve"> </w:t>
      </w:r>
    </w:p>
    <w:p w14:paraId="1FEAF359" w14:textId="77777777" w:rsidR="0093790E" w:rsidRPr="0093790E" w:rsidRDefault="0093790E" w:rsidP="00826045">
      <w:pPr>
        <w:rPr>
          <w:rFonts w:ascii="Titillium Web" w:hAnsi="Titillium Web"/>
        </w:rPr>
      </w:pPr>
    </w:p>
    <w:p w14:paraId="7C007569" w14:textId="77777777" w:rsidR="0093790E" w:rsidRPr="0093790E" w:rsidRDefault="0093790E" w:rsidP="00826045">
      <w:pPr>
        <w:rPr>
          <w:rFonts w:ascii="Titillium Web" w:hAnsi="Titillium Web"/>
        </w:rPr>
      </w:pPr>
    </w:p>
    <w:p w14:paraId="4605368F" w14:textId="77777777" w:rsidR="0093790E" w:rsidRDefault="0093790E" w:rsidP="00826045">
      <w:pPr>
        <w:rPr>
          <w:rFonts w:ascii="Titillium Web" w:hAnsi="Titillium Web"/>
        </w:rPr>
      </w:pPr>
    </w:p>
    <w:p w14:paraId="6A55B49D" w14:textId="77777777" w:rsidR="0093790E" w:rsidRDefault="0093790E" w:rsidP="00826045">
      <w:pPr>
        <w:rPr>
          <w:rFonts w:ascii="Titillium Web" w:hAnsi="Titillium Web"/>
        </w:rPr>
      </w:pPr>
    </w:p>
    <w:p w14:paraId="53E0EEF0" w14:textId="77777777" w:rsidR="0093790E" w:rsidRPr="00826045" w:rsidRDefault="0093790E" w:rsidP="00826045">
      <w:pPr>
        <w:rPr>
          <w:rFonts w:ascii="Titillium Web" w:hAnsi="Titillium Web"/>
        </w:rPr>
      </w:pPr>
    </w:p>
    <w:sdt>
      <w:sdtPr>
        <w:rPr>
          <w:rFonts w:ascii="Titillium Web" w:hAnsi="Titillium Web"/>
          <w:sz w:val="24"/>
          <w:szCs w:val="24"/>
        </w:rPr>
        <w:id w:val="-454017295"/>
        <w:docPartObj>
          <w:docPartGallery w:val="Table of Contents"/>
          <w:docPartUnique/>
        </w:docPartObj>
      </w:sdtPr>
      <w:sdtEndPr>
        <w:rPr>
          <w:sz w:val="20"/>
          <w:szCs w:val="20"/>
        </w:rPr>
      </w:sdtEndPr>
      <w:sdtContent>
        <w:p w14:paraId="47826273" w14:textId="77777777" w:rsidR="00826045" w:rsidRPr="00826045" w:rsidRDefault="00826045" w:rsidP="00826045">
          <w:pPr>
            <w:rPr>
              <w:rFonts w:ascii="Titillium Web" w:hAnsi="Titillium Web"/>
              <w:b/>
              <w:bCs/>
              <w:sz w:val="28"/>
              <w:szCs w:val="28"/>
            </w:rPr>
          </w:pPr>
          <w:r w:rsidRPr="00826045">
            <w:rPr>
              <w:rFonts w:ascii="Titillium Web" w:hAnsi="Titillium Web"/>
              <w:b/>
              <w:bCs/>
              <w:sz w:val="28"/>
              <w:szCs w:val="28"/>
            </w:rPr>
            <w:t>Inhoud</w:t>
          </w:r>
        </w:p>
        <w:p w14:paraId="7007AE91" w14:textId="77777777" w:rsidR="00826045" w:rsidRPr="00826045" w:rsidRDefault="00826045" w:rsidP="00826045">
          <w:pPr>
            <w:rPr>
              <w:rFonts w:ascii="Titillium Web" w:hAnsi="Titillium Web"/>
              <w:sz w:val="24"/>
              <w:szCs w:val="24"/>
            </w:rPr>
          </w:pPr>
        </w:p>
        <w:p w14:paraId="71C0D3E1" w14:textId="151AC93F" w:rsidR="00826045" w:rsidRPr="00826045" w:rsidRDefault="00826045" w:rsidP="00826045">
          <w:pPr>
            <w:rPr>
              <w:rFonts w:ascii="Titillium Web" w:hAnsi="Titillium Web"/>
              <w:sz w:val="24"/>
              <w:szCs w:val="24"/>
            </w:rPr>
          </w:pPr>
          <w:r w:rsidRPr="00826045">
            <w:rPr>
              <w:rFonts w:ascii="Titillium Web" w:hAnsi="Titillium Web"/>
              <w:sz w:val="24"/>
              <w:szCs w:val="24"/>
            </w:rPr>
            <w:fldChar w:fldCharType="begin"/>
          </w:r>
          <w:r w:rsidRPr="00826045">
            <w:rPr>
              <w:rFonts w:ascii="Titillium Web" w:hAnsi="Titillium Web"/>
              <w:sz w:val="24"/>
              <w:szCs w:val="24"/>
            </w:rPr>
            <w:instrText xml:space="preserve"> TOC \o "1-3" \h \z \u </w:instrText>
          </w:r>
          <w:r w:rsidRPr="00826045">
            <w:rPr>
              <w:rFonts w:ascii="Titillium Web" w:hAnsi="Titillium Web"/>
              <w:sz w:val="24"/>
              <w:szCs w:val="24"/>
            </w:rPr>
            <w:fldChar w:fldCharType="separate"/>
          </w:r>
          <w:hyperlink w:anchor="_Toc42777228" w:history="1">
            <w:r w:rsidRPr="00826045">
              <w:rPr>
                <w:rStyle w:val="Hyperlink"/>
                <w:rFonts w:ascii="Titillium Web" w:hAnsi="Titillium Web"/>
                <w:sz w:val="24"/>
                <w:szCs w:val="24"/>
              </w:rPr>
              <w:t>1.</w:t>
            </w:r>
            <w:r w:rsidRPr="00826045">
              <w:rPr>
                <w:rStyle w:val="Hyperlink"/>
                <w:rFonts w:ascii="Titillium Web" w:hAnsi="Titillium Web"/>
                <w:sz w:val="24"/>
                <w:szCs w:val="24"/>
              </w:rPr>
              <w:tab/>
              <w:t>Uitgangspunten</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008E58AE">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_Toc42777228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3</w:t>
            </w:r>
            <w:r w:rsidRPr="00826045">
              <w:rPr>
                <w:rStyle w:val="Hyperlink"/>
                <w:rFonts w:ascii="Titillium Web" w:hAnsi="Titillium Web"/>
                <w:webHidden/>
                <w:sz w:val="24"/>
                <w:szCs w:val="24"/>
              </w:rPr>
              <w:fldChar w:fldCharType="end"/>
            </w:r>
          </w:hyperlink>
        </w:p>
        <w:p w14:paraId="0D8D4B76" w14:textId="0BC51CA2" w:rsidR="00826045" w:rsidRPr="00826045" w:rsidRDefault="00826045" w:rsidP="00826045">
          <w:pPr>
            <w:ind w:firstLine="708"/>
            <w:rPr>
              <w:rFonts w:ascii="Titillium Web" w:hAnsi="Titillium Web"/>
              <w:sz w:val="24"/>
              <w:szCs w:val="24"/>
            </w:rPr>
          </w:pPr>
          <w:hyperlink w:anchor="_Toc42777229" w:history="1">
            <w:r w:rsidRPr="00826045">
              <w:rPr>
                <w:rStyle w:val="Hyperlink"/>
                <w:rFonts w:ascii="Titillium Web" w:hAnsi="Titillium Web"/>
                <w:sz w:val="24"/>
                <w:szCs w:val="24"/>
              </w:rPr>
              <w:t>1.1.</w:t>
            </w:r>
            <w:r w:rsidRPr="00826045">
              <w:rPr>
                <w:rStyle w:val="Hyperlink"/>
                <w:rFonts w:ascii="Titillium Web" w:hAnsi="Titillium Web"/>
                <w:sz w:val="24"/>
                <w:szCs w:val="24"/>
              </w:rPr>
              <w:tab/>
              <w:t>Algemeen</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_Toc42777229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3</w:t>
            </w:r>
            <w:r w:rsidRPr="00826045">
              <w:rPr>
                <w:rStyle w:val="Hyperlink"/>
                <w:rFonts w:ascii="Titillium Web" w:hAnsi="Titillium Web"/>
                <w:webHidden/>
                <w:sz w:val="24"/>
                <w:szCs w:val="24"/>
              </w:rPr>
              <w:fldChar w:fldCharType="end"/>
            </w:r>
          </w:hyperlink>
        </w:p>
        <w:p w14:paraId="0094B6ED" w14:textId="1B1081D4" w:rsidR="00826045" w:rsidRPr="00826045" w:rsidRDefault="00826045" w:rsidP="008E58AE">
          <w:pPr>
            <w:ind w:firstLine="708"/>
            <w:rPr>
              <w:rFonts w:ascii="Titillium Web" w:hAnsi="Titillium Web"/>
              <w:sz w:val="24"/>
              <w:szCs w:val="24"/>
            </w:rPr>
          </w:pPr>
          <w:hyperlink w:anchor="_Toc42777230" w:history="1">
            <w:r w:rsidRPr="00826045">
              <w:rPr>
                <w:rStyle w:val="Hyperlink"/>
                <w:rFonts w:ascii="Titillium Web" w:hAnsi="Titillium Web"/>
                <w:sz w:val="24"/>
                <w:szCs w:val="24"/>
              </w:rPr>
              <w:t>1.2.</w:t>
            </w:r>
            <w:r w:rsidRPr="00826045">
              <w:rPr>
                <w:rStyle w:val="Hyperlink"/>
                <w:rFonts w:ascii="Titillium Web" w:hAnsi="Titillium Web"/>
                <w:sz w:val="24"/>
                <w:szCs w:val="24"/>
              </w:rPr>
              <w:tab/>
              <w:t>Doelstelling</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_Toc42777230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3</w:t>
            </w:r>
            <w:r w:rsidRPr="00826045">
              <w:rPr>
                <w:rStyle w:val="Hyperlink"/>
                <w:rFonts w:ascii="Titillium Web" w:hAnsi="Titillium Web"/>
                <w:webHidden/>
                <w:sz w:val="24"/>
                <w:szCs w:val="24"/>
              </w:rPr>
              <w:fldChar w:fldCharType="end"/>
            </w:r>
          </w:hyperlink>
        </w:p>
        <w:p w14:paraId="643A5965" w14:textId="460F68FE" w:rsidR="00826045" w:rsidRPr="00826045" w:rsidRDefault="00826045" w:rsidP="008E58AE">
          <w:pPr>
            <w:ind w:firstLine="708"/>
            <w:rPr>
              <w:rFonts w:ascii="Titillium Web" w:hAnsi="Titillium Web"/>
              <w:sz w:val="24"/>
              <w:szCs w:val="24"/>
            </w:rPr>
          </w:pPr>
          <w:hyperlink w:anchor="_Toc42777231" w:history="1">
            <w:r w:rsidRPr="00826045">
              <w:rPr>
                <w:rStyle w:val="Hyperlink"/>
                <w:rFonts w:ascii="Titillium Web" w:hAnsi="Titillium Web"/>
                <w:sz w:val="24"/>
                <w:szCs w:val="24"/>
              </w:rPr>
              <w:t>1.3.</w:t>
            </w:r>
            <w:r w:rsidRPr="00826045">
              <w:rPr>
                <w:rStyle w:val="Hyperlink"/>
                <w:rFonts w:ascii="Titillium Web" w:hAnsi="Titillium Web"/>
                <w:sz w:val="24"/>
                <w:szCs w:val="24"/>
              </w:rPr>
              <w:tab/>
              <w:t>Definities</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_Toc42777231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3</w:t>
            </w:r>
            <w:r w:rsidRPr="00826045">
              <w:rPr>
                <w:rStyle w:val="Hyperlink"/>
                <w:rFonts w:ascii="Titillium Web" w:hAnsi="Titillium Web"/>
                <w:webHidden/>
                <w:sz w:val="24"/>
                <w:szCs w:val="24"/>
              </w:rPr>
              <w:fldChar w:fldCharType="end"/>
            </w:r>
          </w:hyperlink>
        </w:p>
        <w:p w14:paraId="2D84537B" w14:textId="04919B32" w:rsidR="00826045" w:rsidRPr="00826045" w:rsidRDefault="00826045" w:rsidP="008E58AE">
          <w:pPr>
            <w:ind w:firstLine="708"/>
            <w:rPr>
              <w:rFonts w:ascii="Titillium Web" w:hAnsi="Titillium Web"/>
              <w:sz w:val="24"/>
              <w:szCs w:val="24"/>
            </w:rPr>
          </w:pPr>
          <w:hyperlink w:anchor="_Toc42777232" w:history="1">
            <w:r w:rsidRPr="00826045">
              <w:rPr>
                <w:rStyle w:val="Hyperlink"/>
                <w:rFonts w:ascii="Titillium Web" w:hAnsi="Titillium Web"/>
                <w:sz w:val="24"/>
                <w:szCs w:val="24"/>
              </w:rPr>
              <w:t>1.4.</w:t>
            </w:r>
            <w:r w:rsidRPr="00826045">
              <w:rPr>
                <w:rStyle w:val="Hyperlink"/>
                <w:rFonts w:ascii="Titillium Web" w:hAnsi="Titillium Web"/>
                <w:sz w:val="24"/>
                <w:szCs w:val="24"/>
              </w:rPr>
              <w:tab/>
              <w:t>Procedure</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_Toc42777232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3</w:t>
            </w:r>
            <w:r w:rsidRPr="00826045">
              <w:rPr>
                <w:rStyle w:val="Hyperlink"/>
                <w:rFonts w:ascii="Titillium Web" w:hAnsi="Titillium Web"/>
                <w:webHidden/>
                <w:sz w:val="24"/>
                <w:szCs w:val="24"/>
              </w:rPr>
              <w:fldChar w:fldCharType="end"/>
            </w:r>
          </w:hyperlink>
        </w:p>
        <w:p w14:paraId="4883682E" w14:textId="2A4C7338" w:rsidR="00826045" w:rsidRPr="00826045" w:rsidRDefault="00826045" w:rsidP="00826045">
          <w:pPr>
            <w:rPr>
              <w:rFonts w:ascii="Titillium Web" w:hAnsi="Titillium Web"/>
              <w:sz w:val="24"/>
              <w:szCs w:val="24"/>
            </w:rPr>
          </w:pPr>
          <w:hyperlink w:anchor="_Toc42777233" w:history="1">
            <w:r w:rsidRPr="00826045">
              <w:rPr>
                <w:rStyle w:val="Hyperlink"/>
                <w:rFonts w:ascii="Titillium Web" w:hAnsi="Titillium Web"/>
                <w:sz w:val="24"/>
                <w:szCs w:val="24"/>
              </w:rPr>
              <w:t>2.</w:t>
            </w:r>
            <w:r w:rsidRPr="00826045">
              <w:rPr>
                <w:rStyle w:val="Hyperlink"/>
                <w:rFonts w:ascii="Titillium Web" w:hAnsi="Titillium Web"/>
                <w:sz w:val="24"/>
                <w:szCs w:val="24"/>
              </w:rPr>
              <w:tab/>
              <w:t>Controleaanpak</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008E58AE">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_Toc42777233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4</w:t>
            </w:r>
            <w:r w:rsidRPr="00826045">
              <w:rPr>
                <w:rStyle w:val="Hyperlink"/>
                <w:rFonts w:ascii="Titillium Web" w:hAnsi="Titillium Web"/>
                <w:webHidden/>
                <w:sz w:val="24"/>
                <w:szCs w:val="24"/>
              </w:rPr>
              <w:fldChar w:fldCharType="end"/>
            </w:r>
          </w:hyperlink>
        </w:p>
        <w:p w14:paraId="74408606" w14:textId="0A9108E8" w:rsidR="00826045" w:rsidRPr="00826045" w:rsidRDefault="00826045" w:rsidP="008E58AE">
          <w:pPr>
            <w:ind w:firstLine="708"/>
            <w:rPr>
              <w:rFonts w:ascii="Titillium Web" w:hAnsi="Titillium Web"/>
              <w:sz w:val="24"/>
              <w:szCs w:val="24"/>
            </w:rPr>
          </w:pPr>
          <w:hyperlink w:anchor="_Toc42777234" w:history="1">
            <w:r w:rsidRPr="00826045">
              <w:rPr>
                <w:rStyle w:val="Hyperlink"/>
                <w:rFonts w:ascii="Titillium Web" w:hAnsi="Titillium Web"/>
                <w:sz w:val="24"/>
                <w:szCs w:val="24"/>
              </w:rPr>
              <w:t>2.1.</w:t>
            </w:r>
            <w:r w:rsidRPr="00826045">
              <w:rPr>
                <w:rStyle w:val="Hyperlink"/>
                <w:rFonts w:ascii="Titillium Web" w:hAnsi="Titillium Web"/>
                <w:sz w:val="24"/>
                <w:szCs w:val="24"/>
              </w:rPr>
              <w:tab/>
              <w:t>Algemeen</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_Toc42777234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4</w:t>
            </w:r>
            <w:r w:rsidRPr="00826045">
              <w:rPr>
                <w:rStyle w:val="Hyperlink"/>
                <w:rFonts w:ascii="Titillium Web" w:hAnsi="Titillium Web"/>
                <w:webHidden/>
                <w:sz w:val="24"/>
                <w:szCs w:val="24"/>
              </w:rPr>
              <w:fldChar w:fldCharType="end"/>
            </w:r>
          </w:hyperlink>
        </w:p>
        <w:p w14:paraId="6A6281CC" w14:textId="60FE42EF" w:rsidR="00826045" w:rsidRPr="00826045" w:rsidRDefault="00826045" w:rsidP="008E58AE">
          <w:pPr>
            <w:ind w:firstLine="708"/>
            <w:rPr>
              <w:rFonts w:ascii="Titillium Web" w:hAnsi="Titillium Web"/>
              <w:sz w:val="24"/>
              <w:szCs w:val="24"/>
            </w:rPr>
          </w:pPr>
          <w:hyperlink w:anchor="_Toc42777235" w:history="1">
            <w:r w:rsidRPr="00826045">
              <w:rPr>
                <w:rStyle w:val="Hyperlink"/>
                <w:rFonts w:ascii="Titillium Web" w:hAnsi="Titillium Web"/>
                <w:sz w:val="24"/>
                <w:szCs w:val="24"/>
              </w:rPr>
              <w:t>2.2.</w:t>
            </w:r>
            <w:r w:rsidRPr="00826045">
              <w:rPr>
                <w:rStyle w:val="Hyperlink"/>
                <w:rFonts w:ascii="Titillium Web" w:hAnsi="Titillium Web"/>
                <w:sz w:val="24"/>
                <w:szCs w:val="24"/>
              </w:rPr>
              <w:tab/>
              <w:t>Betrouwbaarheid en materialiteit</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_Toc42777235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4</w:t>
            </w:r>
            <w:r w:rsidRPr="00826045">
              <w:rPr>
                <w:rStyle w:val="Hyperlink"/>
                <w:rFonts w:ascii="Titillium Web" w:hAnsi="Titillium Web"/>
                <w:webHidden/>
                <w:sz w:val="24"/>
                <w:szCs w:val="24"/>
              </w:rPr>
              <w:fldChar w:fldCharType="end"/>
            </w:r>
          </w:hyperlink>
        </w:p>
        <w:p w14:paraId="601A656B" w14:textId="56AD22E7" w:rsidR="00826045" w:rsidRPr="00826045" w:rsidRDefault="00826045" w:rsidP="008E58AE">
          <w:pPr>
            <w:ind w:firstLine="708"/>
            <w:rPr>
              <w:rFonts w:ascii="Titillium Web" w:hAnsi="Titillium Web"/>
              <w:sz w:val="24"/>
              <w:szCs w:val="24"/>
            </w:rPr>
          </w:pPr>
          <w:hyperlink w:anchor="_Toc42777236" w:history="1">
            <w:r w:rsidRPr="00826045">
              <w:rPr>
                <w:rStyle w:val="Hyperlink"/>
                <w:rFonts w:ascii="Titillium Web" w:hAnsi="Titillium Web"/>
                <w:sz w:val="24"/>
                <w:szCs w:val="24"/>
              </w:rPr>
              <w:t>2.3.</w:t>
            </w:r>
            <w:r w:rsidRPr="00826045">
              <w:rPr>
                <w:rStyle w:val="Hyperlink"/>
                <w:rFonts w:ascii="Titillium Web" w:hAnsi="Titillium Web"/>
                <w:sz w:val="24"/>
                <w:szCs w:val="24"/>
              </w:rPr>
              <w:tab/>
              <w:t>Omgang met geconstateerde fouten</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_Toc42777236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5</w:t>
            </w:r>
            <w:r w:rsidRPr="00826045">
              <w:rPr>
                <w:rStyle w:val="Hyperlink"/>
                <w:rFonts w:ascii="Titillium Web" w:hAnsi="Titillium Web"/>
                <w:webHidden/>
                <w:sz w:val="24"/>
                <w:szCs w:val="24"/>
              </w:rPr>
              <w:fldChar w:fldCharType="end"/>
            </w:r>
          </w:hyperlink>
        </w:p>
        <w:p w14:paraId="6FB1B2CE" w14:textId="4937E1D1" w:rsidR="00826045" w:rsidRPr="00826045" w:rsidRDefault="00826045" w:rsidP="00826045">
          <w:pPr>
            <w:rPr>
              <w:rFonts w:ascii="Titillium Web" w:hAnsi="Titillium Web"/>
              <w:sz w:val="24"/>
              <w:szCs w:val="24"/>
            </w:rPr>
          </w:pPr>
          <w:hyperlink w:anchor="_Toc42777237" w:history="1">
            <w:r w:rsidRPr="00826045">
              <w:rPr>
                <w:rStyle w:val="Hyperlink"/>
                <w:rFonts w:ascii="Titillium Web" w:hAnsi="Titillium Web"/>
                <w:sz w:val="24"/>
                <w:szCs w:val="24"/>
              </w:rPr>
              <w:t>3.</w:t>
            </w:r>
            <w:r w:rsidRPr="00826045">
              <w:rPr>
                <w:rStyle w:val="Hyperlink"/>
                <w:rFonts w:ascii="Titillium Web" w:hAnsi="Titillium Web"/>
                <w:sz w:val="24"/>
                <w:szCs w:val="24"/>
              </w:rPr>
              <w:tab/>
              <w:t>Referentiekader</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008E58AE">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_Toc42777237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5</w:t>
            </w:r>
            <w:r w:rsidRPr="00826045">
              <w:rPr>
                <w:rStyle w:val="Hyperlink"/>
                <w:rFonts w:ascii="Titillium Web" w:hAnsi="Titillium Web"/>
                <w:webHidden/>
                <w:sz w:val="24"/>
                <w:szCs w:val="24"/>
              </w:rPr>
              <w:fldChar w:fldCharType="end"/>
            </w:r>
          </w:hyperlink>
        </w:p>
        <w:p w14:paraId="0F25691F" w14:textId="23B18E9B" w:rsidR="00826045" w:rsidRPr="00826045" w:rsidRDefault="00826045" w:rsidP="008E58AE">
          <w:pPr>
            <w:ind w:firstLine="708"/>
            <w:rPr>
              <w:rFonts w:ascii="Titillium Web" w:hAnsi="Titillium Web"/>
              <w:sz w:val="24"/>
              <w:szCs w:val="24"/>
            </w:rPr>
          </w:pPr>
          <w:hyperlink w:anchor="_Toc42777238" w:history="1">
            <w:r w:rsidRPr="00826045">
              <w:rPr>
                <w:rStyle w:val="Hyperlink"/>
                <w:rFonts w:ascii="Titillium Web" w:hAnsi="Titillium Web"/>
                <w:sz w:val="24"/>
                <w:szCs w:val="24"/>
              </w:rPr>
              <w:t>3.1.</w:t>
            </w:r>
            <w:r w:rsidRPr="00826045">
              <w:rPr>
                <w:rStyle w:val="Hyperlink"/>
                <w:rFonts w:ascii="Titillium Web" w:hAnsi="Titillium Web"/>
                <w:sz w:val="24"/>
                <w:szCs w:val="24"/>
              </w:rPr>
              <w:tab/>
              <w:t>Algemeen</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_Toc42777238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5</w:t>
            </w:r>
            <w:r w:rsidRPr="00826045">
              <w:rPr>
                <w:rStyle w:val="Hyperlink"/>
                <w:rFonts w:ascii="Titillium Web" w:hAnsi="Titillium Web"/>
                <w:webHidden/>
                <w:sz w:val="24"/>
                <w:szCs w:val="24"/>
              </w:rPr>
              <w:fldChar w:fldCharType="end"/>
            </w:r>
          </w:hyperlink>
        </w:p>
        <w:p w14:paraId="293E8D79" w14:textId="5ADE051B" w:rsidR="00826045" w:rsidRPr="00826045" w:rsidRDefault="00826045" w:rsidP="008E58AE">
          <w:pPr>
            <w:ind w:firstLine="708"/>
            <w:rPr>
              <w:rFonts w:ascii="Titillium Web" w:hAnsi="Titillium Web"/>
              <w:sz w:val="24"/>
              <w:szCs w:val="24"/>
            </w:rPr>
          </w:pPr>
          <w:hyperlink w:anchor="_Toc42777239" w:history="1">
            <w:r w:rsidRPr="00826045">
              <w:rPr>
                <w:rStyle w:val="Hyperlink"/>
                <w:rFonts w:ascii="Titillium Web" w:hAnsi="Titillium Web"/>
                <w:sz w:val="24"/>
                <w:szCs w:val="24"/>
              </w:rPr>
              <w:t>3.2.</w:t>
            </w:r>
            <w:r w:rsidRPr="00826045">
              <w:rPr>
                <w:rStyle w:val="Hyperlink"/>
                <w:rFonts w:ascii="Titillium Web" w:hAnsi="Titillium Web"/>
                <w:sz w:val="24"/>
                <w:szCs w:val="24"/>
              </w:rPr>
              <w:tab/>
              <w:t>Andere informatie</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_Toc42777239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6</w:t>
            </w:r>
            <w:r w:rsidRPr="00826045">
              <w:rPr>
                <w:rStyle w:val="Hyperlink"/>
                <w:rFonts w:ascii="Titillium Web" w:hAnsi="Titillium Web"/>
                <w:webHidden/>
                <w:sz w:val="24"/>
                <w:szCs w:val="24"/>
              </w:rPr>
              <w:fldChar w:fldCharType="end"/>
            </w:r>
          </w:hyperlink>
        </w:p>
        <w:p w14:paraId="5FC6322C" w14:textId="6E63DA52" w:rsidR="00826045" w:rsidRPr="00826045" w:rsidRDefault="00826045" w:rsidP="00826045">
          <w:pPr>
            <w:rPr>
              <w:rFonts w:ascii="Titillium Web" w:hAnsi="Titillium Web"/>
              <w:sz w:val="24"/>
              <w:szCs w:val="24"/>
              <w:u w:val="single"/>
            </w:rPr>
          </w:pPr>
          <w:hyperlink w:anchor="_Toc42777247" w:history="1">
            <w:r w:rsidRPr="00826045">
              <w:rPr>
                <w:rStyle w:val="Hyperlink"/>
                <w:rFonts w:ascii="Titillium Web" w:hAnsi="Titillium Web"/>
                <w:sz w:val="24"/>
                <w:szCs w:val="24"/>
              </w:rPr>
              <w:t>4.</w:t>
            </w:r>
            <w:r w:rsidRPr="00826045">
              <w:rPr>
                <w:rStyle w:val="Hyperlink"/>
                <w:rFonts w:ascii="Titillium Web" w:hAnsi="Titillium Web"/>
                <w:sz w:val="24"/>
                <w:szCs w:val="24"/>
              </w:rPr>
              <w:tab/>
              <w:t>Rapportage</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008E58AE">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_Toc42777247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7</w:t>
            </w:r>
            <w:r w:rsidRPr="00826045">
              <w:rPr>
                <w:rStyle w:val="Hyperlink"/>
                <w:rFonts w:ascii="Titillium Web" w:hAnsi="Titillium Web"/>
                <w:webHidden/>
                <w:sz w:val="24"/>
                <w:szCs w:val="24"/>
              </w:rPr>
              <w:fldChar w:fldCharType="end"/>
            </w:r>
          </w:hyperlink>
        </w:p>
        <w:p w14:paraId="517FAC4F" w14:textId="77777777" w:rsidR="00826045" w:rsidRPr="00826045" w:rsidRDefault="00826045" w:rsidP="00826045">
          <w:pPr>
            <w:rPr>
              <w:rFonts w:ascii="Titillium Web" w:hAnsi="Titillium Web"/>
              <w:sz w:val="24"/>
              <w:szCs w:val="24"/>
            </w:rPr>
          </w:pPr>
        </w:p>
        <w:p w14:paraId="2A0222E0" w14:textId="3C296CB2" w:rsidR="00826045" w:rsidRPr="00826045" w:rsidRDefault="00826045" w:rsidP="00826045">
          <w:pPr>
            <w:rPr>
              <w:rFonts w:ascii="Titillium Web" w:hAnsi="Titillium Web"/>
              <w:sz w:val="24"/>
              <w:szCs w:val="24"/>
            </w:rPr>
          </w:pPr>
          <w:hyperlink w:anchor="_Toc42777248" w:history="1">
            <w:r w:rsidRPr="00826045">
              <w:rPr>
                <w:rStyle w:val="Hyperlink"/>
                <w:rFonts w:ascii="Titillium Web" w:hAnsi="Titillium Web"/>
                <w:sz w:val="24"/>
                <w:szCs w:val="24"/>
              </w:rPr>
              <w:t xml:space="preserve">Bijlage 1 </w:t>
            </w:r>
            <w:r w:rsidRPr="00826045">
              <w:rPr>
                <w:rStyle w:val="Hyperlink"/>
                <w:rFonts w:ascii="Titillium Web" w:hAnsi="Titillium Web"/>
                <w:sz w:val="24"/>
                <w:szCs w:val="24"/>
              </w:rPr>
              <w:tab/>
              <w:t>Model controleverklaring</w:t>
            </w:r>
            <w:r w:rsidRPr="00826045">
              <w:rPr>
                <w:rStyle w:val="Hyperlink"/>
                <w:rFonts w:ascii="Titillium Web" w:hAnsi="Titillium Web"/>
                <w:webHidden/>
                <w:sz w:val="24"/>
                <w:szCs w:val="24"/>
              </w:rPr>
              <w:tab/>
            </w:r>
            <w:r>
              <w:rPr>
                <w:rStyle w:val="Hyperlink"/>
                <w:rFonts w:ascii="Titillium Web" w:hAnsi="Titillium Web"/>
                <w:webHidden/>
                <w:sz w:val="24"/>
                <w:szCs w:val="24"/>
              </w:rPr>
              <w:tab/>
            </w:r>
            <w:r>
              <w:rPr>
                <w:rStyle w:val="Hyperlink"/>
                <w:rFonts w:ascii="Titillium Web" w:hAnsi="Titillium Web"/>
                <w:webHidden/>
                <w:sz w:val="24"/>
                <w:szCs w:val="24"/>
              </w:rPr>
              <w:tab/>
            </w:r>
            <w:r w:rsidR="008E58AE">
              <w:rPr>
                <w:rStyle w:val="Hyperlink"/>
                <w:rFonts w:ascii="Titillium Web" w:hAnsi="Titillium Web"/>
                <w:webHidden/>
                <w:sz w:val="24"/>
                <w:szCs w:val="24"/>
              </w:rPr>
              <w:tab/>
            </w:r>
            <w:r w:rsidRPr="00826045">
              <w:rPr>
                <w:rStyle w:val="Hyperlink"/>
                <w:rFonts w:ascii="Titillium Web" w:hAnsi="Titillium Web"/>
                <w:webHidden/>
                <w:sz w:val="24"/>
                <w:szCs w:val="24"/>
              </w:rPr>
              <w:fldChar w:fldCharType="begin"/>
            </w:r>
            <w:r w:rsidRPr="00826045">
              <w:rPr>
                <w:rStyle w:val="Hyperlink"/>
                <w:rFonts w:ascii="Titillium Web" w:hAnsi="Titillium Web"/>
                <w:webHidden/>
                <w:sz w:val="24"/>
                <w:szCs w:val="24"/>
              </w:rPr>
              <w:instrText xml:space="preserve"> PAGEREF _Toc42777248 \h </w:instrText>
            </w:r>
            <w:r w:rsidRPr="00826045">
              <w:rPr>
                <w:rStyle w:val="Hyperlink"/>
                <w:rFonts w:ascii="Titillium Web" w:hAnsi="Titillium Web"/>
                <w:webHidden/>
                <w:sz w:val="24"/>
                <w:szCs w:val="24"/>
              </w:rPr>
            </w:r>
            <w:r w:rsidRPr="00826045">
              <w:rPr>
                <w:rStyle w:val="Hyperlink"/>
                <w:rFonts w:ascii="Titillium Web" w:hAnsi="Titillium Web"/>
                <w:webHidden/>
                <w:sz w:val="24"/>
                <w:szCs w:val="24"/>
              </w:rPr>
              <w:fldChar w:fldCharType="separate"/>
            </w:r>
            <w:r w:rsidR="00F73C12">
              <w:rPr>
                <w:rStyle w:val="Hyperlink"/>
                <w:rFonts w:ascii="Titillium Web" w:hAnsi="Titillium Web"/>
                <w:noProof/>
                <w:webHidden/>
                <w:sz w:val="24"/>
                <w:szCs w:val="24"/>
              </w:rPr>
              <w:t>8</w:t>
            </w:r>
            <w:r w:rsidRPr="00826045">
              <w:rPr>
                <w:rStyle w:val="Hyperlink"/>
                <w:rFonts w:ascii="Titillium Web" w:hAnsi="Titillium Web"/>
                <w:webHidden/>
                <w:sz w:val="24"/>
                <w:szCs w:val="24"/>
              </w:rPr>
              <w:fldChar w:fldCharType="end"/>
            </w:r>
          </w:hyperlink>
        </w:p>
        <w:p w14:paraId="2F00AC7D" w14:textId="77777777" w:rsidR="00826045" w:rsidRPr="00826045" w:rsidRDefault="00826045" w:rsidP="00826045">
          <w:pPr>
            <w:rPr>
              <w:rFonts w:ascii="Titillium Web" w:hAnsi="Titillium Web"/>
            </w:rPr>
          </w:pPr>
          <w:r w:rsidRPr="00826045">
            <w:rPr>
              <w:rFonts w:ascii="Titillium Web" w:hAnsi="Titillium Web"/>
              <w:sz w:val="24"/>
              <w:szCs w:val="24"/>
            </w:rPr>
            <w:fldChar w:fldCharType="end"/>
          </w:r>
        </w:p>
      </w:sdtContent>
    </w:sdt>
    <w:p w14:paraId="47E60B54" w14:textId="77777777" w:rsidR="00826045" w:rsidRPr="00826045" w:rsidRDefault="00826045" w:rsidP="00826045">
      <w:pPr>
        <w:rPr>
          <w:rFonts w:ascii="Titillium Web" w:hAnsi="Titillium Web"/>
        </w:rPr>
      </w:pPr>
    </w:p>
    <w:p w14:paraId="5F4D8023" w14:textId="77777777" w:rsidR="00826045" w:rsidRPr="00826045" w:rsidRDefault="00826045" w:rsidP="00826045">
      <w:pPr>
        <w:rPr>
          <w:rFonts w:ascii="Titillium Web" w:hAnsi="Titillium Web"/>
        </w:rPr>
      </w:pPr>
    </w:p>
    <w:p w14:paraId="3B39AAC3" w14:textId="77777777" w:rsidR="00826045" w:rsidRPr="00826045" w:rsidRDefault="00826045" w:rsidP="00826045">
      <w:pPr>
        <w:rPr>
          <w:rFonts w:ascii="Titillium Web" w:hAnsi="Titillium Web"/>
        </w:rPr>
      </w:pPr>
    </w:p>
    <w:p w14:paraId="2E58D1D5" w14:textId="77777777" w:rsidR="00826045" w:rsidRPr="00826045" w:rsidRDefault="00826045" w:rsidP="00826045">
      <w:pPr>
        <w:rPr>
          <w:rFonts w:ascii="Titillium Web" w:hAnsi="Titillium Web"/>
        </w:rPr>
      </w:pPr>
      <w:r w:rsidRPr="00826045">
        <w:rPr>
          <w:rFonts w:ascii="Titillium Web" w:hAnsi="Titillium Web"/>
        </w:rPr>
        <w:br w:type="page"/>
      </w:r>
    </w:p>
    <w:p w14:paraId="2076ADCD" w14:textId="77777777" w:rsidR="00826045" w:rsidRPr="00826045" w:rsidRDefault="00826045" w:rsidP="00826045">
      <w:pPr>
        <w:numPr>
          <w:ilvl w:val="0"/>
          <w:numId w:val="7"/>
        </w:numPr>
        <w:rPr>
          <w:rFonts w:ascii="Titillium Web" w:hAnsi="Titillium Web"/>
          <w:b/>
          <w:bCs/>
          <w:sz w:val="24"/>
          <w:szCs w:val="24"/>
        </w:rPr>
      </w:pPr>
      <w:bookmarkStart w:id="0" w:name="_Toc42777228"/>
      <w:r w:rsidRPr="00826045">
        <w:rPr>
          <w:rFonts w:ascii="Titillium Web" w:hAnsi="Titillium Web"/>
          <w:b/>
          <w:bCs/>
          <w:sz w:val="24"/>
          <w:szCs w:val="24"/>
        </w:rPr>
        <w:lastRenderedPageBreak/>
        <w:t>Uitgangspunten</w:t>
      </w:r>
      <w:bookmarkEnd w:id="0"/>
    </w:p>
    <w:p w14:paraId="03F647A6" w14:textId="77777777" w:rsidR="00826045" w:rsidRPr="00826045" w:rsidRDefault="00826045" w:rsidP="00826045">
      <w:pPr>
        <w:rPr>
          <w:rFonts w:ascii="Titillium Web" w:hAnsi="Titillium Web"/>
          <w:b/>
          <w:bCs/>
          <w:sz w:val="22"/>
          <w:szCs w:val="22"/>
        </w:rPr>
      </w:pPr>
    </w:p>
    <w:p w14:paraId="1A276B4C" w14:textId="77777777" w:rsidR="00826045" w:rsidRPr="00826045" w:rsidRDefault="00826045" w:rsidP="00826045">
      <w:pPr>
        <w:numPr>
          <w:ilvl w:val="1"/>
          <w:numId w:val="7"/>
        </w:numPr>
        <w:rPr>
          <w:rFonts w:ascii="Titillium Web" w:hAnsi="Titillium Web"/>
          <w:b/>
          <w:bCs/>
          <w:sz w:val="22"/>
          <w:szCs w:val="22"/>
        </w:rPr>
      </w:pPr>
      <w:bookmarkStart w:id="1" w:name="_Toc42777229"/>
      <w:r w:rsidRPr="00826045">
        <w:rPr>
          <w:rFonts w:ascii="Titillium Web" w:hAnsi="Titillium Web"/>
          <w:b/>
          <w:bCs/>
          <w:sz w:val="22"/>
          <w:szCs w:val="22"/>
        </w:rPr>
        <w:t>Algemeen</w:t>
      </w:r>
      <w:bookmarkEnd w:id="1"/>
    </w:p>
    <w:p w14:paraId="754BFABA" w14:textId="1051C543" w:rsidR="00826045" w:rsidRPr="00826045" w:rsidRDefault="00826045" w:rsidP="00826045">
      <w:pPr>
        <w:rPr>
          <w:rFonts w:ascii="Titillium Web" w:hAnsi="Titillium Web"/>
        </w:rPr>
      </w:pPr>
      <w:r w:rsidRPr="00826045">
        <w:rPr>
          <w:rFonts w:ascii="Titillium Web" w:hAnsi="Titillium Web"/>
        </w:rPr>
        <w:t xml:space="preserve">Het Accountantsprotocol heeft betrekking op de Algemene Subsidievoorwaarden </w:t>
      </w:r>
      <w:proofErr w:type="spellStart"/>
      <w:r w:rsidRPr="00826045">
        <w:rPr>
          <w:rFonts w:ascii="Titillium Web" w:hAnsi="Titillium Web"/>
        </w:rPr>
        <w:t>Agis</w:t>
      </w:r>
      <w:proofErr w:type="spellEnd"/>
      <w:r w:rsidRPr="00826045">
        <w:rPr>
          <w:rFonts w:ascii="Titillium Web" w:hAnsi="Titillium Web"/>
        </w:rPr>
        <w:t xml:space="preserve"> </w:t>
      </w:r>
      <w:r w:rsidRPr="00E343F5">
        <w:rPr>
          <w:rFonts w:ascii="Titillium Web" w:hAnsi="Titillium Web"/>
        </w:rPr>
        <w:t>Innovatiefonds. De regelgeving en overige van belang zijnde documentatie zijn,</w:t>
      </w:r>
      <w:r w:rsidRPr="00826045">
        <w:rPr>
          <w:rFonts w:ascii="Titillium Web" w:hAnsi="Titillium Web"/>
        </w:rPr>
        <w:t xml:space="preserve"> evenals dit accountantsprotocol inclusief het te hanteren model voor de controleverklaring te vinden op de website van de Stichting Agis Innovatiefonds. </w:t>
      </w:r>
    </w:p>
    <w:p w14:paraId="7EDEB3A4" w14:textId="77777777" w:rsidR="00826045" w:rsidRPr="00826045" w:rsidRDefault="00826045" w:rsidP="00826045">
      <w:pPr>
        <w:rPr>
          <w:rFonts w:ascii="Titillium Web" w:hAnsi="Titillium Web"/>
        </w:rPr>
      </w:pPr>
      <w:r w:rsidRPr="00826045">
        <w:rPr>
          <w:rFonts w:ascii="Titillium Web" w:hAnsi="Titillium Web"/>
        </w:rPr>
        <w:t xml:space="preserve"> </w:t>
      </w:r>
    </w:p>
    <w:p w14:paraId="409EA75E" w14:textId="75EDF4CD" w:rsidR="00826045" w:rsidRPr="00826045" w:rsidRDefault="00826045" w:rsidP="00826045">
      <w:pPr>
        <w:rPr>
          <w:rFonts w:ascii="Titillium Web" w:hAnsi="Titillium Web"/>
        </w:rPr>
      </w:pPr>
      <w:r w:rsidRPr="00826045">
        <w:rPr>
          <w:rFonts w:ascii="Titillium Web" w:hAnsi="Titillium Web"/>
        </w:rPr>
        <w:t xml:space="preserve">Stichting Agis Innovatiefonds kent een verschil in de vereisten bij een verantwoording van subsidies met een toegekend </w:t>
      </w:r>
      <w:r w:rsidRPr="00E343F5">
        <w:rPr>
          <w:rFonts w:ascii="Titillium Web" w:hAnsi="Titillium Web"/>
        </w:rPr>
        <w:t xml:space="preserve">bedrag tot </w:t>
      </w:r>
      <w:r w:rsidR="0093790E" w:rsidRPr="00E343F5">
        <w:rPr>
          <w:rFonts w:ascii="Titillium Web" w:hAnsi="Titillium Web"/>
        </w:rPr>
        <w:t xml:space="preserve">en met </w:t>
      </w:r>
      <w:r w:rsidRPr="00E343F5">
        <w:rPr>
          <w:rFonts w:ascii="Titillium Web" w:hAnsi="Titillium Web"/>
        </w:rPr>
        <w:t>€ 50</w:t>
      </w:r>
      <w:r w:rsidRPr="00826045">
        <w:rPr>
          <w:rFonts w:ascii="Titillium Web" w:hAnsi="Titillium Web"/>
        </w:rPr>
        <w:t xml:space="preserve">.000 en met een toegekend bedrag </w:t>
      </w:r>
      <w:r w:rsidR="0093790E" w:rsidRPr="00E343F5">
        <w:rPr>
          <w:rFonts w:ascii="Titillium Web" w:hAnsi="Titillium Web"/>
        </w:rPr>
        <w:t>boven</w:t>
      </w:r>
      <w:r w:rsidRPr="00E343F5">
        <w:rPr>
          <w:rFonts w:ascii="Titillium Web" w:hAnsi="Titillium Web"/>
        </w:rPr>
        <w:t xml:space="preserve"> € 50.000. In de Algemene Subsidievoorwaarden Agis Innovatiefonds is vastgelegd dat</w:t>
      </w:r>
      <w:r w:rsidRPr="00826045">
        <w:rPr>
          <w:rFonts w:ascii="Titillium Web" w:hAnsi="Titillium Web"/>
        </w:rPr>
        <w:t xml:space="preserve"> </w:t>
      </w:r>
      <w:r w:rsidRPr="00E343F5">
        <w:rPr>
          <w:rFonts w:ascii="Titillium Web" w:hAnsi="Titillium Web"/>
        </w:rPr>
        <w:t xml:space="preserve">voor de subsidievaststelling van een subsidie met een toegekend subsidiebedrag van meer dan € 50.000 euro een </w:t>
      </w:r>
      <w:r w:rsidR="0093790E" w:rsidRPr="00E343F5">
        <w:rPr>
          <w:rFonts w:ascii="Titillium Web" w:hAnsi="Titillium Web"/>
        </w:rPr>
        <w:t xml:space="preserve">verplicht </w:t>
      </w:r>
      <w:r w:rsidRPr="00E343F5">
        <w:rPr>
          <w:rFonts w:ascii="Titillium Web" w:hAnsi="Titillium Web"/>
        </w:rPr>
        <w:t xml:space="preserve">accountantsproduct (controleverklaring) </w:t>
      </w:r>
      <w:r w:rsidR="0093790E" w:rsidRPr="00E343F5">
        <w:rPr>
          <w:rFonts w:ascii="Titillium Web" w:hAnsi="Titillium Web"/>
        </w:rPr>
        <w:t>tot de mogelijkheden behoort</w:t>
      </w:r>
      <w:r w:rsidRPr="00E343F5">
        <w:rPr>
          <w:rFonts w:ascii="Titillium Web" w:hAnsi="Titillium Web"/>
        </w:rPr>
        <w:t xml:space="preserve">. </w:t>
      </w:r>
      <w:r w:rsidR="0093790E" w:rsidRPr="00E343F5">
        <w:rPr>
          <w:rFonts w:ascii="Titillium Web" w:hAnsi="Titillium Web"/>
        </w:rPr>
        <w:t>Indien dit van toepassing is, wordt dit kenbaar gemaakt in de toewijzingsbrief.</w:t>
      </w:r>
      <w:r w:rsidR="0093790E">
        <w:rPr>
          <w:rFonts w:ascii="Titillium Web" w:hAnsi="Titillium Web"/>
        </w:rPr>
        <w:t xml:space="preserve"> </w:t>
      </w:r>
    </w:p>
    <w:p w14:paraId="2187A6AE" w14:textId="77777777" w:rsidR="00826045" w:rsidRPr="00826045" w:rsidRDefault="00826045" w:rsidP="00826045">
      <w:pPr>
        <w:rPr>
          <w:rFonts w:ascii="Titillium Web" w:hAnsi="Titillium Web"/>
        </w:rPr>
      </w:pPr>
    </w:p>
    <w:p w14:paraId="6C121968" w14:textId="77777777" w:rsidR="00826045" w:rsidRPr="008E58AE" w:rsidRDefault="00826045" w:rsidP="00826045">
      <w:pPr>
        <w:numPr>
          <w:ilvl w:val="1"/>
          <w:numId w:val="7"/>
        </w:numPr>
        <w:rPr>
          <w:rFonts w:ascii="Titillium Web" w:hAnsi="Titillium Web"/>
          <w:b/>
          <w:bCs/>
          <w:sz w:val="22"/>
          <w:szCs w:val="22"/>
        </w:rPr>
      </w:pPr>
      <w:bookmarkStart w:id="2" w:name="_Toc42777230"/>
      <w:r w:rsidRPr="00826045">
        <w:rPr>
          <w:rFonts w:ascii="Titillium Web" w:hAnsi="Titillium Web"/>
          <w:b/>
          <w:bCs/>
          <w:sz w:val="22"/>
          <w:szCs w:val="22"/>
        </w:rPr>
        <w:t>Doelstelling</w:t>
      </w:r>
      <w:bookmarkEnd w:id="2"/>
    </w:p>
    <w:p w14:paraId="0D658D77" w14:textId="77777777" w:rsidR="00826045" w:rsidRPr="00826045" w:rsidRDefault="00826045" w:rsidP="00826045">
      <w:pPr>
        <w:rPr>
          <w:rFonts w:ascii="Titillium Web" w:hAnsi="Titillium Web"/>
        </w:rPr>
      </w:pPr>
      <w:r w:rsidRPr="00826045">
        <w:rPr>
          <w:rFonts w:ascii="Titillium Web" w:hAnsi="Titillium Web"/>
        </w:rPr>
        <w:t xml:space="preserve">Het Agis Innovatiefonds geeft voorschriften aan instellingen over de besteding van de toegekende projectmiddelen en de verantwoording hierover in de Algemene Subsidievoorwaarden Agis Innovatiefonds. </w:t>
      </w:r>
    </w:p>
    <w:p w14:paraId="0BF0CA40" w14:textId="73F59E38" w:rsidR="00826045" w:rsidRPr="00826045" w:rsidRDefault="00826045" w:rsidP="00826045">
      <w:pPr>
        <w:rPr>
          <w:rFonts w:ascii="Titillium Web" w:hAnsi="Titillium Web"/>
        </w:rPr>
      </w:pPr>
      <w:r w:rsidRPr="00826045">
        <w:rPr>
          <w:rFonts w:ascii="Titillium Web" w:hAnsi="Titillium Web"/>
        </w:rPr>
        <w:t xml:space="preserve">Dit controleprotocol is opgesteld om de verwachte werkzaamheden van de onafhankelijke accountant (AA/RA) in het kader van de controle op de subsidieverantwoording nader toe te </w:t>
      </w:r>
      <w:r w:rsidRPr="00E343F5">
        <w:rPr>
          <w:rFonts w:ascii="Titillium Web" w:hAnsi="Titillium Web"/>
        </w:rPr>
        <w:t xml:space="preserve">lichten. Deze verantwoording wordt door de </w:t>
      </w:r>
      <w:r w:rsidR="0093790E" w:rsidRPr="00E343F5">
        <w:rPr>
          <w:rFonts w:ascii="Titillium Web" w:hAnsi="Titillium Web"/>
        </w:rPr>
        <w:t>ontvanger van de subsidie</w:t>
      </w:r>
      <w:r w:rsidRPr="00E343F5">
        <w:rPr>
          <w:rFonts w:ascii="Titillium Web" w:hAnsi="Titillium Web"/>
        </w:rPr>
        <w:t xml:space="preserve"> ten behoeve van de</w:t>
      </w:r>
      <w:r w:rsidRPr="00826045">
        <w:rPr>
          <w:rFonts w:ascii="Titillium Web" w:hAnsi="Titillium Web"/>
        </w:rPr>
        <w:t xml:space="preserve"> definitieve vaststelling van de besteding van de Agis Innovatiefonds middelen ingediend.</w:t>
      </w:r>
    </w:p>
    <w:p w14:paraId="2F8BBFAF" w14:textId="77777777" w:rsidR="00826045" w:rsidRPr="00826045" w:rsidRDefault="00826045" w:rsidP="00826045">
      <w:pPr>
        <w:rPr>
          <w:rFonts w:ascii="Titillium Web" w:hAnsi="Titillium Web"/>
        </w:rPr>
      </w:pPr>
      <w:r w:rsidRPr="00826045">
        <w:rPr>
          <w:rFonts w:ascii="Titillium Web" w:hAnsi="Titillium Web"/>
        </w:rPr>
        <w:t>Het Agis Innovatiefonds houdt zich het recht voor een zogenaamde review uit te voeren op de door de accountant uitgevoerde werkzaamheden. De review is bedoeld om vast te stellen of en in hoeverre het Agis Innovatiefonds gebruik kan maken van de door de accountant verrichtte werkzaamheden.</w:t>
      </w:r>
    </w:p>
    <w:p w14:paraId="1F456C86" w14:textId="77777777" w:rsidR="00826045" w:rsidRPr="00826045" w:rsidRDefault="00826045" w:rsidP="00826045">
      <w:pPr>
        <w:rPr>
          <w:rFonts w:ascii="Titillium Web" w:hAnsi="Titillium Web"/>
        </w:rPr>
      </w:pPr>
    </w:p>
    <w:p w14:paraId="45612340" w14:textId="77777777" w:rsidR="00826045" w:rsidRPr="00826045" w:rsidRDefault="00826045" w:rsidP="00826045">
      <w:pPr>
        <w:numPr>
          <w:ilvl w:val="1"/>
          <w:numId w:val="7"/>
        </w:numPr>
        <w:rPr>
          <w:rFonts w:ascii="Titillium Web" w:hAnsi="Titillium Web"/>
          <w:b/>
          <w:bCs/>
          <w:sz w:val="22"/>
          <w:szCs w:val="22"/>
        </w:rPr>
      </w:pPr>
      <w:bookmarkStart w:id="3" w:name="_Toc42777231"/>
      <w:r w:rsidRPr="00826045">
        <w:rPr>
          <w:rFonts w:ascii="Titillium Web" w:hAnsi="Titillium Web"/>
          <w:b/>
          <w:bCs/>
          <w:sz w:val="22"/>
          <w:szCs w:val="22"/>
        </w:rPr>
        <w:t>Definities</w:t>
      </w:r>
      <w:bookmarkEnd w:id="3"/>
    </w:p>
    <w:p w14:paraId="3A922E89" w14:textId="77777777" w:rsidR="00826045" w:rsidRDefault="00826045" w:rsidP="00826045">
      <w:pPr>
        <w:rPr>
          <w:rFonts w:ascii="Titillium Web" w:hAnsi="Titillium Web"/>
        </w:rPr>
      </w:pPr>
      <w:r w:rsidRPr="00826045">
        <w:rPr>
          <w:rFonts w:ascii="Titillium Web" w:hAnsi="Titillium Web"/>
        </w:rPr>
        <w:t xml:space="preserve">De relevante definities zijn opgenomen in Algemene Subsidievoorwaarden Agis Innovatiefonds. Hiernaast bestaan specifieke voorschriften voor registeraccountants en accountants-administratieconsulenten, met name de Controle en overige standaarden (NV COS). Uitgangspunt voor het accountantsonderzoek gericht op de financiële verantwoording is Standaard 805 'Speciale overwegingen - Controles van een enkel financieel overzicht en controles van specifieke elementen, rekeningen of items van een financieel overzicht'.  </w:t>
      </w:r>
    </w:p>
    <w:p w14:paraId="151000E9" w14:textId="77777777" w:rsidR="008E58AE" w:rsidRDefault="008E58AE" w:rsidP="00826045">
      <w:pPr>
        <w:rPr>
          <w:rFonts w:ascii="Titillium Web" w:hAnsi="Titillium Web"/>
        </w:rPr>
      </w:pPr>
    </w:p>
    <w:p w14:paraId="29EA8A88" w14:textId="77777777" w:rsidR="0093790E" w:rsidRDefault="0093790E" w:rsidP="00826045">
      <w:pPr>
        <w:rPr>
          <w:rFonts w:ascii="Titillium Web" w:hAnsi="Titillium Web"/>
        </w:rPr>
      </w:pPr>
    </w:p>
    <w:p w14:paraId="2A128BAC" w14:textId="77777777" w:rsidR="0093790E" w:rsidRPr="00826045" w:rsidRDefault="0093790E" w:rsidP="00826045">
      <w:pPr>
        <w:rPr>
          <w:rFonts w:ascii="Titillium Web" w:hAnsi="Titillium Web"/>
        </w:rPr>
      </w:pPr>
    </w:p>
    <w:p w14:paraId="21FF9488" w14:textId="77777777" w:rsidR="00826045" w:rsidRDefault="00826045" w:rsidP="00826045">
      <w:pPr>
        <w:numPr>
          <w:ilvl w:val="1"/>
          <w:numId w:val="7"/>
        </w:numPr>
        <w:rPr>
          <w:rFonts w:ascii="Titillium Web" w:hAnsi="Titillium Web"/>
          <w:b/>
          <w:bCs/>
          <w:sz w:val="22"/>
          <w:szCs w:val="22"/>
        </w:rPr>
      </w:pPr>
      <w:bookmarkStart w:id="4" w:name="_Toc42777232"/>
      <w:r w:rsidRPr="00826045">
        <w:rPr>
          <w:rFonts w:ascii="Titillium Web" w:hAnsi="Titillium Web"/>
          <w:b/>
          <w:bCs/>
          <w:sz w:val="22"/>
          <w:szCs w:val="22"/>
        </w:rPr>
        <w:lastRenderedPageBreak/>
        <w:t>Procedure</w:t>
      </w:r>
      <w:bookmarkEnd w:id="4"/>
    </w:p>
    <w:p w14:paraId="64F1ED7C" w14:textId="332E6935" w:rsidR="00826045" w:rsidRPr="00826045" w:rsidRDefault="00826045" w:rsidP="00826045">
      <w:pPr>
        <w:rPr>
          <w:rFonts w:ascii="Titillium Web" w:hAnsi="Titillium Web"/>
        </w:rPr>
      </w:pPr>
      <w:r w:rsidRPr="00826045">
        <w:rPr>
          <w:rFonts w:ascii="Titillium Web" w:hAnsi="Titillium Web"/>
        </w:rPr>
        <w:t xml:space="preserve">De eindverantwoording van een subsidie wordt ingediend binnen de gestelde termijn (vanuit </w:t>
      </w:r>
      <w:r w:rsidRPr="00E343F5">
        <w:rPr>
          <w:rFonts w:ascii="Titillium Web" w:hAnsi="Titillium Web"/>
        </w:rPr>
        <w:t xml:space="preserve">de </w:t>
      </w:r>
      <w:r w:rsidR="0093790E" w:rsidRPr="00E343F5">
        <w:rPr>
          <w:rFonts w:ascii="Titillium Web" w:hAnsi="Titillium Web"/>
        </w:rPr>
        <w:t>A</w:t>
      </w:r>
      <w:r w:rsidRPr="00E343F5">
        <w:rPr>
          <w:rFonts w:ascii="Titillium Web" w:hAnsi="Titillium Web"/>
        </w:rPr>
        <w:t xml:space="preserve">lgemene </w:t>
      </w:r>
      <w:r w:rsidR="0093790E" w:rsidRPr="00E343F5">
        <w:rPr>
          <w:rFonts w:ascii="Titillium Web" w:hAnsi="Titillium Web"/>
        </w:rPr>
        <w:t>S</w:t>
      </w:r>
      <w:r w:rsidRPr="00E343F5">
        <w:rPr>
          <w:rFonts w:ascii="Titillium Web" w:hAnsi="Titillium Web"/>
        </w:rPr>
        <w:t>ubsidievoorwaarden) na de einddatum die is vastgelegd in de</w:t>
      </w:r>
      <w:r w:rsidR="008E58AE" w:rsidRPr="00E343F5">
        <w:rPr>
          <w:rFonts w:ascii="Titillium Web" w:hAnsi="Titillium Web"/>
        </w:rPr>
        <w:t xml:space="preserve"> </w:t>
      </w:r>
      <w:r w:rsidRPr="00E343F5">
        <w:rPr>
          <w:rFonts w:ascii="Titillium Web" w:hAnsi="Titillium Web"/>
        </w:rPr>
        <w:t xml:space="preserve">toekenningsbrief van de subsidie of, indien nader bepaald, in een </w:t>
      </w:r>
      <w:r w:rsidR="0093790E" w:rsidRPr="00E343F5">
        <w:rPr>
          <w:rFonts w:ascii="Titillium Web" w:hAnsi="Titillium Web"/>
        </w:rPr>
        <w:t>mailwisseling tussen subsidiegever en -ontvanger</w:t>
      </w:r>
      <w:r w:rsidRPr="00E343F5">
        <w:rPr>
          <w:rFonts w:ascii="Titillium Web" w:hAnsi="Titillium Web"/>
        </w:rPr>
        <w:t xml:space="preserve"> inzake de toegekende subsidie.</w:t>
      </w:r>
      <w:r w:rsidRPr="00826045">
        <w:rPr>
          <w:rFonts w:ascii="Titillium Web" w:hAnsi="Titillium Web"/>
        </w:rPr>
        <w:t xml:space="preserve"> </w:t>
      </w:r>
    </w:p>
    <w:p w14:paraId="3030A436" w14:textId="77777777" w:rsidR="00826045" w:rsidRPr="00826045" w:rsidRDefault="00826045" w:rsidP="00826045">
      <w:pPr>
        <w:rPr>
          <w:rFonts w:ascii="Titillium Web" w:hAnsi="Titillium Web"/>
        </w:rPr>
      </w:pPr>
    </w:p>
    <w:p w14:paraId="55187040" w14:textId="7A108C92" w:rsidR="00826045" w:rsidRPr="00826045" w:rsidRDefault="00826045" w:rsidP="00826045">
      <w:pPr>
        <w:rPr>
          <w:rFonts w:ascii="Titillium Web" w:hAnsi="Titillium Web"/>
        </w:rPr>
      </w:pPr>
      <w:r w:rsidRPr="00826045">
        <w:rPr>
          <w:rFonts w:ascii="Titillium Web" w:hAnsi="Titillium Web"/>
        </w:rPr>
        <w:t xml:space="preserve">Voor een eindverantwoording van de subsidie wordt door </w:t>
      </w:r>
      <w:r w:rsidR="00E343F5">
        <w:rPr>
          <w:rFonts w:ascii="Titillium Web" w:hAnsi="Titillium Web"/>
        </w:rPr>
        <w:t>het</w:t>
      </w:r>
      <w:r w:rsidRPr="00826045">
        <w:rPr>
          <w:rFonts w:ascii="Titillium Web" w:hAnsi="Titillium Web"/>
        </w:rPr>
        <w:t xml:space="preserve"> </w:t>
      </w:r>
      <w:proofErr w:type="spellStart"/>
      <w:r w:rsidRPr="00826045">
        <w:rPr>
          <w:rFonts w:ascii="Titillium Web" w:hAnsi="Titillium Web"/>
        </w:rPr>
        <w:t>Agis</w:t>
      </w:r>
      <w:proofErr w:type="spellEnd"/>
      <w:r w:rsidRPr="00826045">
        <w:rPr>
          <w:rFonts w:ascii="Titillium Web" w:hAnsi="Titillium Web"/>
        </w:rPr>
        <w:t xml:space="preserve"> Innovatiefonds geen specifiek format voorgeschreven. Wel zijn criteria voor voortgangs- en eindrapportages opgesteld waaraan voldaan moet worden. </w:t>
      </w:r>
      <w:r w:rsidR="00E343F5">
        <w:rPr>
          <w:rFonts w:ascii="Titillium Web" w:hAnsi="Titillium Web"/>
        </w:rPr>
        <w:t xml:space="preserve">Daarnaast is er een checklist beschikbaar. </w:t>
      </w:r>
    </w:p>
    <w:p w14:paraId="25972FC7" w14:textId="77777777" w:rsidR="00826045" w:rsidRPr="00826045" w:rsidRDefault="00826045" w:rsidP="00826045">
      <w:pPr>
        <w:rPr>
          <w:rFonts w:ascii="Titillium Web" w:hAnsi="Titillium Web"/>
        </w:rPr>
      </w:pPr>
    </w:p>
    <w:p w14:paraId="3410A7AE" w14:textId="77777777" w:rsidR="00826045" w:rsidRPr="00826045" w:rsidRDefault="00826045" w:rsidP="00826045">
      <w:pPr>
        <w:numPr>
          <w:ilvl w:val="0"/>
          <w:numId w:val="7"/>
        </w:numPr>
        <w:rPr>
          <w:rFonts w:ascii="Titillium Web" w:hAnsi="Titillium Web"/>
          <w:b/>
          <w:bCs/>
          <w:sz w:val="24"/>
          <w:szCs w:val="24"/>
        </w:rPr>
      </w:pPr>
      <w:bookmarkStart w:id="5" w:name="_Toc42777233"/>
      <w:r w:rsidRPr="00826045">
        <w:rPr>
          <w:rFonts w:ascii="Titillium Web" w:hAnsi="Titillium Web"/>
          <w:b/>
          <w:bCs/>
          <w:sz w:val="24"/>
          <w:szCs w:val="24"/>
        </w:rPr>
        <w:t>Controleaanpak</w:t>
      </w:r>
      <w:bookmarkEnd w:id="5"/>
    </w:p>
    <w:p w14:paraId="7DFD9580" w14:textId="77777777" w:rsidR="00826045" w:rsidRPr="00826045" w:rsidRDefault="00826045" w:rsidP="00826045">
      <w:pPr>
        <w:rPr>
          <w:rFonts w:ascii="Titillium Web" w:hAnsi="Titillium Web"/>
          <w:b/>
          <w:bCs/>
          <w:sz w:val="22"/>
          <w:szCs w:val="22"/>
        </w:rPr>
      </w:pPr>
    </w:p>
    <w:p w14:paraId="045D40CC" w14:textId="77777777" w:rsidR="00826045" w:rsidRPr="00826045" w:rsidRDefault="00826045" w:rsidP="00826045">
      <w:pPr>
        <w:numPr>
          <w:ilvl w:val="1"/>
          <w:numId w:val="7"/>
        </w:numPr>
        <w:rPr>
          <w:rFonts w:ascii="Titillium Web" w:hAnsi="Titillium Web"/>
          <w:b/>
          <w:bCs/>
          <w:sz w:val="22"/>
          <w:szCs w:val="22"/>
        </w:rPr>
      </w:pPr>
      <w:bookmarkStart w:id="6" w:name="_Toc42777234"/>
      <w:r w:rsidRPr="00826045">
        <w:rPr>
          <w:rFonts w:ascii="Titillium Web" w:hAnsi="Titillium Web"/>
          <w:b/>
          <w:bCs/>
          <w:sz w:val="22"/>
          <w:szCs w:val="22"/>
        </w:rPr>
        <w:t>Algemeen</w:t>
      </w:r>
      <w:bookmarkEnd w:id="6"/>
    </w:p>
    <w:p w14:paraId="088B77CD" w14:textId="77777777" w:rsidR="00826045" w:rsidRDefault="00826045" w:rsidP="00826045">
      <w:pPr>
        <w:rPr>
          <w:rFonts w:ascii="Titillium Web" w:hAnsi="Titillium Web"/>
        </w:rPr>
      </w:pPr>
      <w:r w:rsidRPr="00826045">
        <w:rPr>
          <w:rFonts w:ascii="Titillium Web" w:hAnsi="Titillium Web"/>
        </w:rPr>
        <w:t>De controleaanpak is de primaire verantwoordelijkheid van de accountant. Dit controleprotocol beoogt dan ook niet een aanpak van de controle voor te schrijven. Veelal baseert de accountant zich bij zijn onderzoek op een (risico)analyse van de administratieve organisatie en de interne controle rondom de financiële administratie van de aanvrager en komt op basis daarvan tot een optimale afweging van de in te zetten controlemiddelen.</w:t>
      </w:r>
    </w:p>
    <w:p w14:paraId="697FB4F5" w14:textId="77777777" w:rsidR="008E58AE" w:rsidRPr="00826045" w:rsidRDefault="008E58AE" w:rsidP="00826045">
      <w:pPr>
        <w:rPr>
          <w:rFonts w:ascii="Titillium Web" w:hAnsi="Titillium Web"/>
        </w:rPr>
      </w:pPr>
    </w:p>
    <w:p w14:paraId="634E11C3" w14:textId="77777777" w:rsidR="00826045" w:rsidRPr="00826045" w:rsidRDefault="00826045" w:rsidP="00826045">
      <w:pPr>
        <w:numPr>
          <w:ilvl w:val="1"/>
          <w:numId w:val="7"/>
        </w:numPr>
        <w:rPr>
          <w:rFonts w:ascii="Titillium Web" w:hAnsi="Titillium Web"/>
          <w:b/>
          <w:bCs/>
          <w:sz w:val="22"/>
          <w:szCs w:val="22"/>
        </w:rPr>
      </w:pPr>
      <w:bookmarkStart w:id="7" w:name="_Toc42777235"/>
      <w:r w:rsidRPr="00826045">
        <w:rPr>
          <w:rFonts w:ascii="Titillium Web" w:hAnsi="Titillium Web"/>
          <w:b/>
          <w:bCs/>
          <w:sz w:val="22"/>
          <w:szCs w:val="22"/>
        </w:rPr>
        <w:t>Betrouwbaarheid en materialiteit</w:t>
      </w:r>
      <w:bookmarkEnd w:id="7"/>
    </w:p>
    <w:p w14:paraId="450C6239" w14:textId="77777777" w:rsidR="00826045" w:rsidRPr="00826045" w:rsidRDefault="00826045" w:rsidP="00826045">
      <w:pPr>
        <w:rPr>
          <w:rFonts w:ascii="Titillium Web" w:hAnsi="Titillium Web"/>
        </w:rPr>
      </w:pPr>
      <w:r w:rsidRPr="00826045">
        <w:rPr>
          <w:rFonts w:ascii="Titillium Web" w:hAnsi="Titillium Web"/>
        </w:rPr>
        <w:t xml:space="preserve">De controle behoort zodanig te worden ingepland en uitgevoerd dat een redelijke mate van zekerheid wordt verkregen dat de financiële verantwoording geen afwijkingen van materieel belang bevat. Indien laatstgenoemd begrip voor het gebruik van statistische technieken gekwantificeerd moet worden, moet uitgegaan worden van een betrouwbaarheid van 95%. </w:t>
      </w:r>
    </w:p>
    <w:p w14:paraId="0720EC44" w14:textId="77777777" w:rsidR="00826045" w:rsidRDefault="00826045" w:rsidP="00826045">
      <w:pPr>
        <w:rPr>
          <w:rFonts w:ascii="Titillium Web" w:hAnsi="Titillium Web"/>
        </w:rPr>
      </w:pPr>
      <w:r w:rsidRPr="00826045">
        <w:rPr>
          <w:rFonts w:ascii="Titillium Web" w:hAnsi="Titillium Web"/>
        </w:rPr>
        <w:t xml:space="preserve">Voor de strekking van de controleverklaring bij de financiële verantwoording gelden de toleranties uit onderstaande tabel. De som van de subsidiabele kosten vormt de basis waarop de toleranties moeten worden toegepast. </w:t>
      </w:r>
    </w:p>
    <w:p w14:paraId="1514B217" w14:textId="77777777" w:rsidR="0069553E" w:rsidRPr="00826045" w:rsidRDefault="0069553E" w:rsidP="00826045">
      <w:pPr>
        <w:rPr>
          <w:rFonts w:ascii="Titillium Web" w:hAnsi="Titillium Web"/>
        </w:rPr>
      </w:pPr>
    </w:p>
    <w:tbl>
      <w:tblPr>
        <w:tblStyle w:val="Tabelraster"/>
        <w:tblW w:w="0" w:type="auto"/>
        <w:tblInd w:w="0" w:type="dxa"/>
        <w:tblLook w:val="04A0" w:firstRow="1" w:lastRow="0" w:firstColumn="1" w:lastColumn="0" w:noHBand="0" w:noVBand="1"/>
      </w:tblPr>
      <w:tblGrid>
        <w:gridCol w:w="2017"/>
        <w:gridCol w:w="1422"/>
        <w:gridCol w:w="1251"/>
        <w:gridCol w:w="1846"/>
        <w:gridCol w:w="1220"/>
      </w:tblGrid>
      <w:tr w:rsidR="00826045" w:rsidRPr="00826045" w14:paraId="1EE12CF6" w14:textId="77777777" w:rsidTr="001C5181">
        <w:tc>
          <w:tcPr>
            <w:tcW w:w="2821" w:type="dxa"/>
          </w:tcPr>
          <w:p w14:paraId="5600D779" w14:textId="77777777" w:rsidR="00826045" w:rsidRPr="00826045" w:rsidRDefault="00826045" w:rsidP="00826045">
            <w:pPr>
              <w:rPr>
                <w:rFonts w:ascii="Titillium Web" w:hAnsi="Titillium Web"/>
              </w:rPr>
            </w:pPr>
          </w:p>
        </w:tc>
        <w:tc>
          <w:tcPr>
            <w:tcW w:w="6235" w:type="dxa"/>
            <w:gridSpan w:val="4"/>
          </w:tcPr>
          <w:p w14:paraId="795722DB" w14:textId="77777777" w:rsidR="00826045" w:rsidRPr="00826045" w:rsidRDefault="00826045" w:rsidP="00826045">
            <w:pPr>
              <w:rPr>
                <w:rFonts w:ascii="Titillium Web" w:hAnsi="Titillium Web"/>
              </w:rPr>
            </w:pPr>
            <w:r w:rsidRPr="00826045">
              <w:rPr>
                <w:rFonts w:ascii="Titillium Web" w:hAnsi="Titillium Web"/>
              </w:rPr>
              <w:t>Oordeel</w:t>
            </w:r>
          </w:p>
        </w:tc>
      </w:tr>
      <w:tr w:rsidR="00826045" w:rsidRPr="00826045" w14:paraId="3D6003BE" w14:textId="77777777" w:rsidTr="001C5181">
        <w:tc>
          <w:tcPr>
            <w:tcW w:w="2821" w:type="dxa"/>
          </w:tcPr>
          <w:p w14:paraId="3F86A785" w14:textId="77777777" w:rsidR="00826045" w:rsidRPr="00826045" w:rsidRDefault="00826045" w:rsidP="00826045">
            <w:pPr>
              <w:rPr>
                <w:rFonts w:ascii="Titillium Web" w:hAnsi="Titillium Web"/>
              </w:rPr>
            </w:pPr>
          </w:p>
        </w:tc>
        <w:tc>
          <w:tcPr>
            <w:tcW w:w="1558" w:type="dxa"/>
          </w:tcPr>
          <w:p w14:paraId="2BD55E1A" w14:textId="77777777" w:rsidR="00826045" w:rsidRPr="00826045" w:rsidRDefault="00826045" w:rsidP="00826045">
            <w:pPr>
              <w:rPr>
                <w:rFonts w:ascii="Titillium Web" w:hAnsi="Titillium Web"/>
              </w:rPr>
            </w:pPr>
            <w:r w:rsidRPr="00826045">
              <w:rPr>
                <w:rFonts w:ascii="Titillium Web" w:hAnsi="Titillium Web"/>
              </w:rPr>
              <w:t>Goedkeurend</w:t>
            </w:r>
          </w:p>
        </w:tc>
        <w:tc>
          <w:tcPr>
            <w:tcW w:w="1555" w:type="dxa"/>
          </w:tcPr>
          <w:p w14:paraId="3387DB8B" w14:textId="77777777" w:rsidR="00826045" w:rsidRPr="00826045" w:rsidRDefault="00826045" w:rsidP="00826045">
            <w:pPr>
              <w:rPr>
                <w:rFonts w:ascii="Titillium Web" w:hAnsi="Titillium Web"/>
              </w:rPr>
            </w:pPr>
            <w:r w:rsidRPr="00826045">
              <w:rPr>
                <w:rFonts w:ascii="Titillium Web" w:hAnsi="Titillium Web"/>
              </w:rPr>
              <w:t>Beperking</w:t>
            </w:r>
          </w:p>
        </w:tc>
        <w:tc>
          <w:tcPr>
            <w:tcW w:w="1578" w:type="dxa"/>
          </w:tcPr>
          <w:p w14:paraId="7DFE4400" w14:textId="77777777" w:rsidR="00826045" w:rsidRPr="00826045" w:rsidRDefault="00826045" w:rsidP="00826045">
            <w:pPr>
              <w:rPr>
                <w:rFonts w:ascii="Titillium Web" w:hAnsi="Titillium Web"/>
              </w:rPr>
            </w:pPr>
            <w:r w:rsidRPr="00826045">
              <w:rPr>
                <w:rFonts w:ascii="Titillium Web" w:hAnsi="Titillium Web"/>
              </w:rPr>
              <w:t>Oordeelonthouding</w:t>
            </w:r>
          </w:p>
        </w:tc>
        <w:tc>
          <w:tcPr>
            <w:tcW w:w="1544" w:type="dxa"/>
          </w:tcPr>
          <w:p w14:paraId="1E83B268" w14:textId="77777777" w:rsidR="00826045" w:rsidRPr="00826045" w:rsidRDefault="00826045" w:rsidP="00826045">
            <w:pPr>
              <w:rPr>
                <w:rFonts w:ascii="Titillium Web" w:hAnsi="Titillium Web"/>
              </w:rPr>
            </w:pPr>
            <w:r w:rsidRPr="00826045">
              <w:rPr>
                <w:rFonts w:ascii="Titillium Web" w:hAnsi="Titillium Web"/>
              </w:rPr>
              <w:t>Afkeuring</w:t>
            </w:r>
          </w:p>
        </w:tc>
      </w:tr>
      <w:tr w:rsidR="00826045" w:rsidRPr="00826045" w14:paraId="5EF96B8A" w14:textId="77777777" w:rsidTr="001C5181">
        <w:tc>
          <w:tcPr>
            <w:tcW w:w="2821" w:type="dxa"/>
          </w:tcPr>
          <w:p w14:paraId="277C6033" w14:textId="77777777" w:rsidR="00826045" w:rsidRPr="00826045" w:rsidRDefault="00826045" w:rsidP="00826045">
            <w:pPr>
              <w:rPr>
                <w:rFonts w:ascii="Titillium Web" w:hAnsi="Titillium Web"/>
              </w:rPr>
            </w:pPr>
            <w:r w:rsidRPr="00826045">
              <w:rPr>
                <w:rFonts w:ascii="Titillium Web" w:hAnsi="Titillium Web"/>
              </w:rPr>
              <w:t>Fouten in de financiële verantwoording</w:t>
            </w:r>
          </w:p>
        </w:tc>
        <w:tc>
          <w:tcPr>
            <w:tcW w:w="1558" w:type="dxa"/>
          </w:tcPr>
          <w:p w14:paraId="698345A3" w14:textId="77777777" w:rsidR="00826045" w:rsidRPr="00826045" w:rsidRDefault="00826045" w:rsidP="00826045">
            <w:pPr>
              <w:rPr>
                <w:rFonts w:ascii="Titillium Web" w:hAnsi="Titillium Web"/>
              </w:rPr>
            </w:pPr>
            <w:r w:rsidRPr="00826045">
              <w:rPr>
                <w:rFonts w:ascii="Titillium Web" w:hAnsi="Titillium Web"/>
              </w:rPr>
              <w:t>&lt; 1%</w:t>
            </w:r>
          </w:p>
        </w:tc>
        <w:tc>
          <w:tcPr>
            <w:tcW w:w="1555" w:type="dxa"/>
          </w:tcPr>
          <w:p w14:paraId="6C13787F" w14:textId="77777777" w:rsidR="00826045" w:rsidRPr="00826045" w:rsidRDefault="00826045" w:rsidP="00826045">
            <w:pPr>
              <w:rPr>
                <w:rFonts w:ascii="Titillium Web" w:hAnsi="Titillium Web"/>
              </w:rPr>
            </w:pPr>
            <w:r w:rsidRPr="00826045">
              <w:rPr>
                <w:rFonts w:ascii="Titillium Web" w:hAnsi="Titillium Web"/>
              </w:rPr>
              <w:sym w:font="Symbol" w:char="F0B3"/>
            </w:r>
            <w:r w:rsidRPr="00826045">
              <w:rPr>
                <w:rFonts w:ascii="Titillium Web" w:hAnsi="Titillium Web"/>
              </w:rPr>
              <w:t xml:space="preserve"> 1% en &lt; 3%</w:t>
            </w:r>
          </w:p>
        </w:tc>
        <w:tc>
          <w:tcPr>
            <w:tcW w:w="1578" w:type="dxa"/>
          </w:tcPr>
          <w:p w14:paraId="42028AC3" w14:textId="77777777" w:rsidR="00826045" w:rsidRPr="00826045" w:rsidRDefault="00826045" w:rsidP="00826045">
            <w:pPr>
              <w:rPr>
                <w:rFonts w:ascii="Titillium Web" w:hAnsi="Titillium Web"/>
              </w:rPr>
            </w:pPr>
            <w:r w:rsidRPr="00826045">
              <w:rPr>
                <w:rFonts w:ascii="Titillium Web" w:hAnsi="Titillium Web"/>
              </w:rPr>
              <w:t>n.v.t.</w:t>
            </w:r>
          </w:p>
        </w:tc>
        <w:tc>
          <w:tcPr>
            <w:tcW w:w="1544" w:type="dxa"/>
          </w:tcPr>
          <w:p w14:paraId="76922098" w14:textId="77777777" w:rsidR="00826045" w:rsidRPr="00826045" w:rsidRDefault="00826045" w:rsidP="00826045">
            <w:pPr>
              <w:rPr>
                <w:rFonts w:ascii="Titillium Web" w:hAnsi="Titillium Web"/>
              </w:rPr>
            </w:pPr>
            <w:r w:rsidRPr="00826045">
              <w:rPr>
                <w:rFonts w:ascii="Titillium Web" w:hAnsi="Titillium Web"/>
              </w:rPr>
              <w:sym w:font="Symbol" w:char="F0B3"/>
            </w:r>
            <w:r w:rsidRPr="00826045">
              <w:rPr>
                <w:rFonts w:ascii="Titillium Web" w:hAnsi="Titillium Web"/>
              </w:rPr>
              <w:t xml:space="preserve"> 3%</w:t>
            </w:r>
          </w:p>
        </w:tc>
      </w:tr>
      <w:tr w:rsidR="00826045" w:rsidRPr="00826045" w14:paraId="51DA19FE" w14:textId="77777777" w:rsidTr="001C5181">
        <w:tc>
          <w:tcPr>
            <w:tcW w:w="2821" w:type="dxa"/>
          </w:tcPr>
          <w:p w14:paraId="219F84F2" w14:textId="77777777" w:rsidR="00826045" w:rsidRPr="00826045" w:rsidRDefault="00826045" w:rsidP="00826045">
            <w:pPr>
              <w:rPr>
                <w:rFonts w:ascii="Titillium Web" w:hAnsi="Titillium Web"/>
              </w:rPr>
            </w:pPr>
            <w:r w:rsidRPr="00826045">
              <w:rPr>
                <w:rFonts w:ascii="Titillium Web" w:hAnsi="Titillium Web"/>
              </w:rPr>
              <w:t>Onzekerheden in de controle</w:t>
            </w:r>
          </w:p>
        </w:tc>
        <w:tc>
          <w:tcPr>
            <w:tcW w:w="1558" w:type="dxa"/>
          </w:tcPr>
          <w:p w14:paraId="7FBBFC65" w14:textId="77777777" w:rsidR="00826045" w:rsidRPr="00826045" w:rsidRDefault="00826045" w:rsidP="00826045">
            <w:pPr>
              <w:rPr>
                <w:rFonts w:ascii="Titillium Web" w:hAnsi="Titillium Web"/>
              </w:rPr>
            </w:pPr>
            <w:r w:rsidRPr="00826045">
              <w:rPr>
                <w:rFonts w:ascii="Titillium Web" w:hAnsi="Titillium Web"/>
              </w:rPr>
              <w:t>&lt; 3%</w:t>
            </w:r>
          </w:p>
        </w:tc>
        <w:tc>
          <w:tcPr>
            <w:tcW w:w="1555" w:type="dxa"/>
          </w:tcPr>
          <w:p w14:paraId="69CEAFA4" w14:textId="77777777" w:rsidR="00826045" w:rsidRPr="00826045" w:rsidRDefault="00826045" w:rsidP="00826045">
            <w:pPr>
              <w:rPr>
                <w:rFonts w:ascii="Titillium Web" w:hAnsi="Titillium Web"/>
              </w:rPr>
            </w:pPr>
            <w:r w:rsidRPr="00826045">
              <w:rPr>
                <w:rFonts w:ascii="Titillium Web" w:hAnsi="Titillium Web"/>
              </w:rPr>
              <w:sym w:font="Symbol" w:char="F0B3"/>
            </w:r>
            <w:r w:rsidRPr="00826045">
              <w:rPr>
                <w:rFonts w:ascii="Titillium Web" w:hAnsi="Titillium Web"/>
              </w:rPr>
              <w:t xml:space="preserve"> 3% en &lt; 10%</w:t>
            </w:r>
          </w:p>
        </w:tc>
        <w:tc>
          <w:tcPr>
            <w:tcW w:w="1578" w:type="dxa"/>
          </w:tcPr>
          <w:p w14:paraId="393517A5" w14:textId="77777777" w:rsidR="00826045" w:rsidRPr="00826045" w:rsidRDefault="00826045" w:rsidP="00826045">
            <w:pPr>
              <w:rPr>
                <w:rFonts w:ascii="Titillium Web" w:hAnsi="Titillium Web"/>
              </w:rPr>
            </w:pPr>
            <w:r w:rsidRPr="00826045">
              <w:rPr>
                <w:rFonts w:ascii="Titillium Web" w:hAnsi="Titillium Web"/>
              </w:rPr>
              <w:sym w:font="Symbol" w:char="F0B3"/>
            </w:r>
            <w:r w:rsidRPr="00826045">
              <w:rPr>
                <w:rFonts w:ascii="Titillium Web" w:hAnsi="Titillium Web"/>
              </w:rPr>
              <w:t xml:space="preserve"> 10%</w:t>
            </w:r>
          </w:p>
        </w:tc>
        <w:tc>
          <w:tcPr>
            <w:tcW w:w="1544" w:type="dxa"/>
          </w:tcPr>
          <w:p w14:paraId="44D8F274" w14:textId="77777777" w:rsidR="00826045" w:rsidRPr="00826045" w:rsidRDefault="00826045" w:rsidP="00826045">
            <w:pPr>
              <w:rPr>
                <w:rFonts w:ascii="Titillium Web" w:hAnsi="Titillium Web"/>
              </w:rPr>
            </w:pPr>
            <w:r w:rsidRPr="00826045">
              <w:rPr>
                <w:rFonts w:ascii="Titillium Web" w:hAnsi="Titillium Web"/>
              </w:rPr>
              <w:t>n.v.t.</w:t>
            </w:r>
          </w:p>
        </w:tc>
      </w:tr>
    </w:tbl>
    <w:p w14:paraId="3723F48C" w14:textId="77777777" w:rsidR="00D868B1" w:rsidRDefault="00D868B1" w:rsidP="00826045">
      <w:pPr>
        <w:rPr>
          <w:rFonts w:ascii="Titillium Web" w:hAnsi="Titillium Web"/>
        </w:rPr>
      </w:pPr>
    </w:p>
    <w:p w14:paraId="79697F70" w14:textId="77777777" w:rsidR="00826045" w:rsidRPr="00826045" w:rsidRDefault="00826045" w:rsidP="00826045">
      <w:pPr>
        <w:rPr>
          <w:rFonts w:ascii="Titillium Web" w:hAnsi="Titillium Web"/>
        </w:rPr>
      </w:pPr>
      <w:r w:rsidRPr="00826045">
        <w:rPr>
          <w:rFonts w:ascii="Titillium Web" w:hAnsi="Titillium Web"/>
        </w:rPr>
        <w:t xml:space="preserve">Van fouten in de verantwoording is sprake indien naar aanleiding van </w:t>
      </w:r>
      <w:proofErr w:type="gramStart"/>
      <w:r w:rsidRPr="00826045">
        <w:rPr>
          <w:rFonts w:ascii="Titillium Web" w:hAnsi="Titillium Web"/>
        </w:rPr>
        <w:t>het uitgevoerde controle</w:t>
      </w:r>
      <w:proofErr w:type="gramEnd"/>
      <w:r w:rsidRPr="00826045">
        <w:rPr>
          <w:rFonts w:ascii="Titillium Web" w:hAnsi="Titillium Web"/>
        </w:rPr>
        <w:t xml:space="preserve"> is gebleken dat de financiële verantwoording onjuistheden bevat omdat deze niet </w:t>
      </w:r>
      <w:r w:rsidRPr="00826045">
        <w:rPr>
          <w:rFonts w:ascii="Titillium Web" w:hAnsi="Titillium Web"/>
        </w:rPr>
        <w:lastRenderedPageBreak/>
        <w:t xml:space="preserve">voldoen aan de normen van het in paragraaf 3.1 bedoelde referentiekader. Fouten worden in absolute zin opgevat. Salderen van fouten is daarom niet toegestaan. </w:t>
      </w:r>
    </w:p>
    <w:p w14:paraId="5F4AF10F" w14:textId="31DD13E4" w:rsidR="00826045" w:rsidRDefault="00826045" w:rsidP="00826045">
      <w:pPr>
        <w:rPr>
          <w:rFonts w:ascii="Titillium Web" w:hAnsi="Titillium Web"/>
        </w:rPr>
      </w:pPr>
      <w:r w:rsidRPr="00826045">
        <w:rPr>
          <w:rFonts w:ascii="Titillium Web" w:hAnsi="Titillium Web"/>
        </w:rPr>
        <w:t xml:space="preserve">Van een onzekerheid in de controle is sprake als er onvoldoende (controle-) informatie beschikbaar is om de posten in de financiële verantwoording als goed of fout aan te merken. </w:t>
      </w:r>
      <w:r w:rsidR="00CE4203">
        <w:rPr>
          <w:rFonts w:ascii="Titillium Web" w:hAnsi="Titillium Web"/>
        </w:rPr>
        <w:br/>
      </w:r>
    </w:p>
    <w:p w14:paraId="590EB293" w14:textId="77777777" w:rsidR="00826045" w:rsidRPr="00826045" w:rsidRDefault="00826045" w:rsidP="00826045">
      <w:pPr>
        <w:numPr>
          <w:ilvl w:val="1"/>
          <w:numId w:val="7"/>
        </w:numPr>
        <w:rPr>
          <w:rFonts w:ascii="Titillium Web" w:hAnsi="Titillium Web"/>
          <w:b/>
          <w:bCs/>
          <w:sz w:val="22"/>
          <w:szCs w:val="22"/>
        </w:rPr>
      </w:pPr>
      <w:bookmarkStart w:id="8" w:name="_Toc42777236"/>
      <w:r w:rsidRPr="00826045">
        <w:rPr>
          <w:rFonts w:ascii="Titillium Web" w:hAnsi="Titillium Web"/>
          <w:b/>
          <w:bCs/>
          <w:sz w:val="22"/>
          <w:szCs w:val="22"/>
        </w:rPr>
        <w:t>Omgang met geconstateerde fouten</w:t>
      </w:r>
      <w:bookmarkEnd w:id="8"/>
    </w:p>
    <w:p w14:paraId="23E5A159" w14:textId="77777777" w:rsidR="00826045" w:rsidRPr="00826045" w:rsidRDefault="00826045" w:rsidP="00826045">
      <w:pPr>
        <w:rPr>
          <w:rFonts w:ascii="Titillium Web" w:hAnsi="Titillium Web"/>
        </w:rPr>
      </w:pPr>
      <w:r w:rsidRPr="00826045">
        <w:rPr>
          <w:rFonts w:ascii="Titillium Web" w:hAnsi="Titillium Web"/>
        </w:rPr>
        <w:t>Tijdens de controle geconstateerde fouten dienen indien mogelijk door de aanvrager in de verantwoording te worden aangepast. Inzake het omgaan met geconstateerde fouten geldt de gedragslijn dat geconstateerde fouten, die invloed hebben op de omvang van de bijdragen van het Agis Innovatiefonds, moeten worden gerapporteerd. Voor een adequate onderbouwing van het accountantsoordeel is het noodzakelijk dat de accountant de niet gecorrigeerde fouten en onzekerheden zoveel mogelijk kwantificeert.</w:t>
      </w:r>
    </w:p>
    <w:p w14:paraId="3B6B950B" w14:textId="77777777" w:rsidR="00826045" w:rsidRPr="00826045" w:rsidRDefault="00826045" w:rsidP="00826045">
      <w:pPr>
        <w:rPr>
          <w:rFonts w:ascii="Titillium Web" w:hAnsi="Titillium Web"/>
        </w:rPr>
      </w:pPr>
      <w:r w:rsidRPr="00826045">
        <w:rPr>
          <w:rFonts w:ascii="Titillium Web" w:hAnsi="Titillium Web"/>
        </w:rPr>
        <w:t xml:space="preserve">De accountant stelt vast dat de uitgaven en inkomsten in overeenstemming zijn met de geldende regelgeving (zie hoofdstuk 1 van dit protocol). </w:t>
      </w:r>
    </w:p>
    <w:p w14:paraId="2941AC4D" w14:textId="77777777" w:rsidR="00826045" w:rsidRPr="00826045" w:rsidRDefault="00826045" w:rsidP="00826045">
      <w:pPr>
        <w:rPr>
          <w:rFonts w:ascii="Titillium Web" w:hAnsi="Titillium Web"/>
        </w:rPr>
      </w:pPr>
    </w:p>
    <w:p w14:paraId="577BCFA0" w14:textId="77777777" w:rsidR="00826045" w:rsidRPr="00826045" w:rsidRDefault="00826045" w:rsidP="00826045">
      <w:pPr>
        <w:numPr>
          <w:ilvl w:val="0"/>
          <w:numId w:val="7"/>
        </w:numPr>
        <w:rPr>
          <w:rFonts w:ascii="Titillium Web" w:hAnsi="Titillium Web"/>
          <w:b/>
          <w:bCs/>
          <w:sz w:val="24"/>
          <w:szCs w:val="24"/>
        </w:rPr>
      </w:pPr>
      <w:bookmarkStart w:id="9" w:name="_Toc42777237"/>
      <w:r w:rsidRPr="00826045">
        <w:rPr>
          <w:rFonts w:ascii="Titillium Web" w:hAnsi="Titillium Web"/>
          <w:b/>
          <w:bCs/>
          <w:sz w:val="24"/>
          <w:szCs w:val="24"/>
        </w:rPr>
        <w:t>Referentiekader</w:t>
      </w:r>
      <w:bookmarkEnd w:id="9"/>
    </w:p>
    <w:p w14:paraId="43D91C2B" w14:textId="77777777" w:rsidR="00826045" w:rsidRPr="00826045" w:rsidRDefault="00826045" w:rsidP="00826045">
      <w:pPr>
        <w:rPr>
          <w:rFonts w:ascii="Titillium Web" w:hAnsi="Titillium Web"/>
          <w:b/>
          <w:bCs/>
          <w:sz w:val="22"/>
          <w:szCs w:val="22"/>
        </w:rPr>
      </w:pPr>
    </w:p>
    <w:p w14:paraId="7B1A7ECD" w14:textId="77777777" w:rsidR="00826045" w:rsidRPr="00826045" w:rsidRDefault="00826045" w:rsidP="00826045">
      <w:pPr>
        <w:numPr>
          <w:ilvl w:val="1"/>
          <w:numId w:val="7"/>
        </w:numPr>
        <w:rPr>
          <w:rFonts w:ascii="Titillium Web" w:hAnsi="Titillium Web"/>
          <w:b/>
          <w:bCs/>
          <w:sz w:val="22"/>
          <w:szCs w:val="22"/>
        </w:rPr>
      </w:pPr>
      <w:bookmarkStart w:id="10" w:name="_Toc42777238"/>
      <w:r w:rsidRPr="00826045">
        <w:rPr>
          <w:rFonts w:ascii="Titillium Web" w:hAnsi="Titillium Web"/>
          <w:b/>
          <w:bCs/>
          <w:sz w:val="22"/>
          <w:szCs w:val="22"/>
        </w:rPr>
        <w:t>Algemeen</w:t>
      </w:r>
      <w:bookmarkEnd w:id="10"/>
    </w:p>
    <w:p w14:paraId="427F6EDE" w14:textId="77777777" w:rsidR="00826045" w:rsidRPr="00826045" w:rsidRDefault="00826045" w:rsidP="00826045">
      <w:pPr>
        <w:rPr>
          <w:rFonts w:ascii="Titillium Web" w:hAnsi="Titillium Web"/>
        </w:rPr>
      </w:pPr>
      <w:r w:rsidRPr="00826045">
        <w:rPr>
          <w:rFonts w:ascii="Titillium Web" w:hAnsi="Titillium Web"/>
        </w:rPr>
        <w:t>Voor de controlewerkzaamheden die leiden tot de controleverklaring behorend bij de financiële verantwoording gelden de volgende toetspunten:</w:t>
      </w:r>
    </w:p>
    <w:p w14:paraId="2DCCFFCF" w14:textId="77777777" w:rsidR="00826045" w:rsidRPr="00826045" w:rsidRDefault="00826045" w:rsidP="00826045">
      <w:pPr>
        <w:numPr>
          <w:ilvl w:val="0"/>
          <w:numId w:val="8"/>
        </w:numPr>
        <w:rPr>
          <w:rFonts w:ascii="Titillium Web" w:hAnsi="Titillium Web"/>
          <w:b/>
          <w:bCs/>
        </w:rPr>
      </w:pPr>
      <w:r w:rsidRPr="00826045">
        <w:rPr>
          <w:rFonts w:ascii="Titillium Web" w:hAnsi="Titillium Web"/>
          <w:b/>
          <w:bCs/>
        </w:rPr>
        <w:t>Kosten</w:t>
      </w:r>
    </w:p>
    <w:p w14:paraId="2C7E74C7"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in de financiële verantwoording verantwoorde kosten dienen betrekking te hebben op het in de toekenningsbrief benoemde project;</w:t>
      </w:r>
    </w:p>
    <w:p w14:paraId="0A52C233"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kosten worden berekend op basis van een controleerbare methode die door de subsidieontvanger stelselmatig worden toegepast;</w:t>
      </w:r>
    </w:p>
    <w:p w14:paraId="23F0D214"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kosten zijn gemaakt en daadwerkelijk betaald en zijn rechtstreeks toe te rekenen aan het project ter zake waarvoor het bedrag is verleend; </w:t>
      </w:r>
    </w:p>
    <w:p w14:paraId="68B821E7" w14:textId="4E02D8E1"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kosten zijn inclusief BTW verantwoord voor zover de BTW niet </w:t>
      </w:r>
      <w:r w:rsidR="00CE4203">
        <w:rPr>
          <w:rFonts w:ascii="Titillium Web" w:hAnsi="Titillium Web"/>
        </w:rPr>
        <w:t xml:space="preserve">kan worden </w:t>
      </w:r>
      <w:r w:rsidRPr="00826045">
        <w:rPr>
          <w:rFonts w:ascii="Titillium Web" w:hAnsi="Titillium Web"/>
        </w:rPr>
        <w:t xml:space="preserve">teruggevorderd bij de belastingdienst; </w:t>
      </w:r>
    </w:p>
    <w:p w14:paraId="7AF9968C"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in aanmerking genomen kosten zijn in overeenstemming met de ingediende aanvraag (begroting) en eventuele wijzigingen (per kostensoort) zijn tijdig aan het Agis Innovatiefonds medegedeeld en akkoord bevonden; </w:t>
      </w:r>
    </w:p>
    <w:p w14:paraId="54116DD2" w14:textId="77777777" w:rsidR="00826045" w:rsidRPr="00826045" w:rsidRDefault="00826045" w:rsidP="00826045">
      <w:pPr>
        <w:numPr>
          <w:ilvl w:val="0"/>
          <w:numId w:val="8"/>
        </w:numPr>
        <w:rPr>
          <w:rFonts w:ascii="Titillium Web" w:hAnsi="Titillium Web"/>
          <w:b/>
          <w:bCs/>
        </w:rPr>
      </w:pPr>
      <w:r w:rsidRPr="00826045">
        <w:rPr>
          <w:rFonts w:ascii="Titillium Web" w:hAnsi="Titillium Web"/>
          <w:b/>
          <w:bCs/>
        </w:rPr>
        <w:t>Berekening personele kosten</w:t>
      </w:r>
    </w:p>
    <w:p w14:paraId="3BAEFFF5" w14:textId="77777777" w:rsidR="00826045" w:rsidRPr="00826045" w:rsidRDefault="00826045" w:rsidP="00826045">
      <w:pPr>
        <w:numPr>
          <w:ilvl w:val="1"/>
          <w:numId w:val="8"/>
        </w:numPr>
        <w:rPr>
          <w:rFonts w:ascii="Titillium Web" w:hAnsi="Titillium Web"/>
        </w:rPr>
      </w:pPr>
      <w:r w:rsidRPr="00826045">
        <w:rPr>
          <w:rFonts w:ascii="Titillium Web" w:hAnsi="Titillium Web"/>
        </w:rPr>
        <w:t>Als de personele lasten zijn gebaseerd op tarieven per fte, dan stelt de accountant tenminste vast dat de verantwoorde vergoeding aan projectmedewerkers past binnen de maximale subsidietoekenning. Daarnaast is er sprake van een urenregistratie die het begroot(gerealiseerd) aantal fte verantwoord. De accountant verkrijgt hiertoe voldoende en geschikte controle informatie;</w:t>
      </w:r>
    </w:p>
    <w:p w14:paraId="439E3EB5" w14:textId="77777777" w:rsidR="00826045" w:rsidRPr="00826045" w:rsidRDefault="00826045" w:rsidP="00826045">
      <w:pPr>
        <w:numPr>
          <w:ilvl w:val="1"/>
          <w:numId w:val="8"/>
        </w:numPr>
        <w:rPr>
          <w:rFonts w:ascii="Titillium Web" w:hAnsi="Titillium Web"/>
        </w:rPr>
      </w:pPr>
      <w:r w:rsidRPr="00826045">
        <w:rPr>
          <w:rFonts w:ascii="Titillium Web" w:hAnsi="Titillium Web"/>
        </w:rPr>
        <w:lastRenderedPageBreak/>
        <w:t>Als de personele lasten zijn gebaseerd op urentarieven, dan stelt de accountant tenminste vast dat:</w:t>
      </w:r>
    </w:p>
    <w:p w14:paraId="28D88464" w14:textId="77777777" w:rsidR="00826045" w:rsidRPr="00826045" w:rsidRDefault="00826045" w:rsidP="00826045">
      <w:pPr>
        <w:numPr>
          <w:ilvl w:val="2"/>
          <w:numId w:val="8"/>
        </w:numPr>
        <w:rPr>
          <w:rFonts w:ascii="Titillium Web" w:hAnsi="Titillium Web"/>
        </w:rPr>
      </w:pPr>
      <w:proofErr w:type="gramStart"/>
      <w:r w:rsidRPr="00826045">
        <w:rPr>
          <w:rFonts w:ascii="Titillium Web" w:hAnsi="Titillium Web"/>
        </w:rPr>
        <w:t>er</w:t>
      </w:r>
      <w:proofErr w:type="gramEnd"/>
      <w:r w:rsidRPr="00826045">
        <w:rPr>
          <w:rFonts w:ascii="Titillium Web" w:hAnsi="Titillium Web"/>
        </w:rPr>
        <w:t xml:space="preserve"> een urenregistratie ten grondslag ligt aan de verantwoorde uren waarbij de uren tenminste per maand worden geregistreerd en zichtbaar worden geautoriseerd door een leidinggevende c.q. projectleider;</w:t>
      </w:r>
    </w:p>
    <w:p w14:paraId="155BB39E" w14:textId="77777777" w:rsidR="00826045" w:rsidRPr="00826045" w:rsidRDefault="00826045" w:rsidP="00826045">
      <w:pPr>
        <w:numPr>
          <w:ilvl w:val="2"/>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verantwoorde uurtarieven conform de ingediende en goedgekeurde begroting zijn. </w:t>
      </w:r>
    </w:p>
    <w:p w14:paraId="7A066C38" w14:textId="77777777" w:rsidR="00826045" w:rsidRPr="00826045" w:rsidRDefault="00826045" w:rsidP="00826045">
      <w:pPr>
        <w:numPr>
          <w:ilvl w:val="2"/>
          <w:numId w:val="8"/>
        </w:numPr>
        <w:rPr>
          <w:rFonts w:ascii="Titillium Web" w:hAnsi="Titillium Web"/>
        </w:rPr>
      </w:pPr>
      <w:proofErr w:type="gramStart"/>
      <w:r w:rsidRPr="00826045">
        <w:rPr>
          <w:rFonts w:ascii="Titillium Web" w:hAnsi="Titillium Web"/>
        </w:rPr>
        <w:t>er</w:t>
      </w:r>
      <w:proofErr w:type="gramEnd"/>
      <w:r w:rsidRPr="00826045">
        <w:rPr>
          <w:rFonts w:ascii="Titillium Web" w:hAnsi="Titillium Web"/>
        </w:rPr>
        <w:t xml:space="preserve"> geen kosten worden verantwoord die reeds zijn inbegrepen in de toeslag voor overhead in het uurtarief. </w:t>
      </w:r>
    </w:p>
    <w:p w14:paraId="6372868B" w14:textId="77777777" w:rsidR="00826045" w:rsidRPr="00826045" w:rsidRDefault="00826045" w:rsidP="00826045">
      <w:pPr>
        <w:numPr>
          <w:ilvl w:val="0"/>
          <w:numId w:val="8"/>
        </w:numPr>
        <w:rPr>
          <w:rFonts w:ascii="Titillium Web" w:hAnsi="Titillium Web"/>
          <w:b/>
          <w:bCs/>
        </w:rPr>
      </w:pPr>
      <w:r w:rsidRPr="00826045">
        <w:rPr>
          <w:rFonts w:ascii="Titillium Web" w:hAnsi="Titillium Web"/>
          <w:b/>
          <w:bCs/>
        </w:rPr>
        <w:t xml:space="preserve">Analyse verschillen </w:t>
      </w:r>
    </w:p>
    <w:p w14:paraId="3BA07968"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verschillen</w:t>
      </w:r>
      <w:proofErr w:type="gramEnd"/>
      <w:r w:rsidRPr="00826045">
        <w:rPr>
          <w:rFonts w:ascii="Titillium Web" w:hAnsi="Titillium Web"/>
        </w:rPr>
        <w:t xml:space="preserve"> tussen de begroting en realisatie zijn geanalyseerd; </w:t>
      </w:r>
    </w:p>
    <w:p w14:paraId="165E6EBD"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afwijkingen</w:t>
      </w:r>
      <w:proofErr w:type="gramEnd"/>
      <w:r w:rsidRPr="00826045">
        <w:rPr>
          <w:rFonts w:ascii="Titillium Web" w:hAnsi="Titillium Web"/>
        </w:rPr>
        <w:t xml:space="preserve"> groter dan 10% ten opzichte van de begroting en die groter zijn dan € 1.000, zijn nader toegelicht.</w:t>
      </w:r>
    </w:p>
    <w:p w14:paraId="3FCB07FA" w14:textId="77777777" w:rsidR="00826045" w:rsidRPr="00826045" w:rsidRDefault="00826045" w:rsidP="00826045">
      <w:pPr>
        <w:numPr>
          <w:ilvl w:val="0"/>
          <w:numId w:val="8"/>
        </w:numPr>
        <w:rPr>
          <w:rFonts w:ascii="Titillium Web" w:hAnsi="Titillium Web"/>
          <w:b/>
          <w:bCs/>
        </w:rPr>
      </w:pPr>
      <w:r w:rsidRPr="00826045">
        <w:rPr>
          <w:rFonts w:ascii="Titillium Web" w:hAnsi="Titillium Web"/>
          <w:b/>
          <w:bCs/>
        </w:rPr>
        <w:t>Overig bijdragen</w:t>
      </w:r>
    </w:p>
    <w:p w14:paraId="6AFDC7F3" w14:textId="77777777" w:rsidR="00826045" w:rsidRPr="00826045" w:rsidRDefault="00826045" w:rsidP="00826045">
      <w:pPr>
        <w:numPr>
          <w:ilvl w:val="1"/>
          <w:numId w:val="8"/>
        </w:numPr>
        <w:rPr>
          <w:rFonts w:ascii="Titillium Web" w:hAnsi="Titillium Web"/>
          <w:i/>
          <w:u w:val="single"/>
        </w:rPr>
      </w:pPr>
      <w:r w:rsidRPr="00826045">
        <w:rPr>
          <w:rFonts w:ascii="Titillium Web" w:hAnsi="Titillium Web"/>
          <w:i/>
        </w:rPr>
        <w:t>Eigen bijdrage</w:t>
      </w:r>
      <w:r w:rsidRPr="00826045">
        <w:rPr>
          <w:rFonts w:ascii="Titillium Web" w:hAnsi="Titillium Web"/>
          <w:i/>
          <w:u w:val="single"/>
        </w:rPr>
        <w:t xml:space="preserve"> </w:t>
      </w:r>
    </w:p>
    <w:p w14:paraId="24ECB615" w14:textId="77777777" w:rsidR="00826045" w:rsidRPr="00826045" w:rsidRDefault="00826045" w:rsidP="00826045">
      <w:pPr>
        <w:numPr>
          <w:ilvl w:val="2"/>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in de financiële verantwoording verantwoorde begrote of gerealiseerde eigen bijdrage, is indien deze hoger is dan de begrote eigen bijdrage, volledig opgenomen;</w:t>
      </w:r>
    </w:p>
    <w:p w14:paraId="28120066" w14:textId="77777777" w:rsidR="00826045" w:rsidRPr="00826045" w:rsidRDefault="00826045" w:rsidP="00826045">
      <w:pPr>
        <w:numPr>
          <w:ilvl w:val="1"/>
          <w:numId w:val="8"/>
        </w:numPr>
        <w:rPr>
          <w:rFonts w:ascii="Titillium Web" w:hAnsi="Titillium Web"/>
          <w:i/>
        </w:rPr>
      </w:pPr>
      <w:r w:rsidRPr="00826045">
        <w:rPr>
          <w:rFonts w:ascii="Titillium Web" w:hAnsi="Titillium Web"/>
          <w:i/>
        </w:rPr>
        <w:t>Bijdragen derden</w:t>
      </w:r>
    </w:p>
    <w:p w14:paraId="55A60871" w14:textId="77777777" w:rsidR="00826045" w:rsidRPr="00826045" w:rsidRDefault="00826045" w:rsidP="00826045">
      <w:pPr>
        <w:numPr>
          <w:ilvl w:val="2"/>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in de financiële verantwoording verantwoorde gerealiseerde bijdragen van derden zijn volledig opgenomen; </w:t>
      </w:r>
    </w:p>
    <w:p w14:paraId="5D9ECA84" w14:textId="77777777" w:rsidR="00826045" w:rsidRPr="00826045" w:rsidRDefault="00826045" w:rsidP="00826045">
      <w:pPr>
        <w:numPr>
          <w:ilvl w:val="0"/>
          <w:numId w:val="8"/>
        </w:numPr>
        <w:rPr>
          <w:rFonts w:ascii="Titillium Web" w:hAnsi="Titillium Web"/>
          <w:b/>
          <w:bCs/>
        </w:rPr>
      </w:pPr>
      <w:r w:rsidRPr="00826045">
        <w:rPr>
          <w:rFonts w:ascii="Titillium Web" w:hAnsi="Titillium Web"/>
          <w:b/>
          <w:bCs/>
        </w:rPr>
        <w:t>Periode</w:t>
      </w:r>
    </w:p>
    <w:p w14:paraId="2FCC0046"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de</w:t>
      </w:r>
      <w:proofErr w:type="gramEnd"/>
      <w:r w:rsidRPr="00826045">
        <w:rPr>
          <w:rFonts w:ascii="Titillium Web" w:hAnsi="Titillium Web"/>
        </w:rPr>
        <w:t xml:space="preserve"> in de financiële verantwoording verantwoorde kosten en gerealiseerde bijdragen hebben betrekking op de in de verleningsbeschikking genoemde periode waarvoor de subsidie is verleend;</w:t>
      </w:r>
    </w:p>
    <w:p w14:paraId="40333A7F" w14:textId="77777777" w:rsidR="00826045" w:rsidRPr="00826045" w:rsidRDefault="00826045" w:rsidP="00826045">
      <w:pPr>
        <w:numPr>
          <w:ilvl w:val="0"/>
          <w:numId w:val="8"/>
        </w:numPr>
        <w:rPr>
          <w:rFonts w:ascii="Titillium Web" w:hAnsi="Titillium Web"/>
          <w:b/>
          <w:bCs/>
        </w:rPr>
      </w:pPr>
      <w:r w:rsidRPr="00826045">
        <w:rPr>
          <w:rFonts w:ascii="Titillium Web" w:hAnsi="Titillium Web"/>
          <w:b/>
          <w:bCs/>
        </w:rPr>
        <w:t>Voorzieningen en reserveringen</w:t>
      </w:r>
    </w:p>
    <w:p w14:paraId="0857F567" w14:textId="77777777" w:rsidR="00826045" w:rsidRPr="00826045" w:rsidRDefault="00826045" w:rsidP="00826045">
      <w:pPr>
        <w:numPr>
          <w:ilvl w:val="1"/>
          <w:numId w:val="8"/>
        </w:numPr>
        <w:rPr>
          <w:rFonts w:ascii="Titillium Web" w:hAnsi="Titillium Web"/>
        </w:rPr>
      </w:pPr>
      <w:proofErr w:type="gramStart"/>
      <w:r w:rsidRPr="00826045">
        <w:rPr>
          <w:rFonts w:ascii="Titillium Web" w:hAnsi="Titillium Web"/>
        </w:rPr>
        <w:t>toevoegingen</w:t>
      </w:r>
      <w:proofErr w:type="gramEnd"/>
      <w:r w:rsidRPr="00826045">
        <w:rPr>
          <w:rFonts w:ascii="Titillium Web" w:hAnsi="Titillium Web"/>
        </w:rPr>
        <w:t xml:space="preserve"> aan voorzieningen en reserveringen komen niet in aanmerking voor subsidie</w:t>
      </w:r>
    </w:p>
    <w:p w14:paraId="316E2D09" w14:textId="77777777" w:rsidR="00826045" w:rsidRPr="00826045" w:rsidRDefault="00826045" w:rsidP="00826045">
      <w:pPr>
        <w:rPr>
          <w:rFonts w:ascii="Titillium Web" w:hAnsi="Titillium Web"/>
        </w:rPr>
      </w:pPr>
    </w:p>
    <w:p w14:paraId="6AC28A15" w14:textId="77777777" w:rsidR="00826045" w:rsidRPr="00826045" w:rsidRDefault="00826045" w:rsidP="00826045">
      <w:pPr>
        <w:numPr>
          <w:ilvl w:val="1"/>
          <w:numId w:val="7"/>
        </w:numPr>
        <w:rPr>
          <w:rFonts w:ascii="Titillium Web" w:hAnsi="Titillium Web"/>
          <w:b/>
          <w:bCs/>
          <w:sz w:val="22"/>
          <w:szCs w:val="22"/>
        </w:rPr>
      </w:pPr>
      <w:bookmarkStart w:id="11" w:name="_Toc42777239"/>
      <w:r w:rsidRPr="00826045">
        <w:rPr>
          <w:rFonts w:ascii="Titillium Web" w:hAnsi="Titillium Web"/>
          <w:b/>
          <w:bCs/>
          <w:sz w:val="22"/>
          <w:szCs w:val="22"/>
        </w:rPr>
        <w:t>Andere informatie</w:t>
      </w:r>
      <w:bookmarkEnd w:id="11"/>
    </w:p>
    <w:p w14:paraId="44384356" w14:textId="77777777" w:rsidR="00826045" w:rsidRPr="00826045" w:rsidRDefault="00826045" w:rsidP="00826045">
      <w:pPr>
        <w:rPr>
          <w:rFonts w:ascii="Titillium Web" w:hAnsi="Titillium Web"/>
        </w:rPr>
      </w:pPr>
      <w:r w:rsidRPr="00826045">
        <w:rPr>
          <w:rFonts w:ascii="Titillium Web" w:hAnsi="Titillium Web"/>
        </w:rPr>
        <w:t xml:space="preserve">De eindrapportage bestaat naast de financiële verantwoording ook uit een inhoudelijke verantwoording van de activiteiten. De accountant dient overeenkomstig Standaard 720 ’De verantwoordelijkheden van de accountant met betrekking tot andere informatie’ vast te stellen dat de informatie in het in het activiteitenverslag verenigbaar is met de financiële verantwoording en geen materiële afwijkingen bevat. </w:t>
      </w:r>
    </w:p>
    <w:p w14:paraId="3D7C0FD0" w14:textId="77777777" w:rsidR="00826045" w:rsidRPr="00826045" w:rsidRDefault="00826045" w:rsidP="00826045">
      <w:pPr>
        <w:rPr>
          <w:rFonts w:ascii="Titillium Web" w:hAnsi="Titillium Web"/>
        </w:rPr>
      </w:pPr>
    </w:p>
    <w:p w14:paraId="5B7762AC" w14:textId="77777777" w:rsidR="00826045" w:rsidRPr="00826045" w:rsidRDefault="00826045" w:rsidP="00826045">
      <w:pPr>
        <w:rPr>
          <w:rFonts w:ascii="Titillium Web" w:hAnsi="Titillium Web"/>
        </w:rPr>
      </w:pPr>
      <w:r w:rsidRPr="00826045">
        <w:rPr>
          <w:rFonts w:ascii="Titillium Web" w:hAnsi="Titillium Web"/>
        </w:rPr>
        <w:t xml:space="preserve">Het is binnen het kader van dit accountantsprotocol expliciet niet de bedoeling dat er een specifiek onderzoek wordt uitgevoerd naar het activiteitenverslag of het separaat </w:t>
      </w:r>
      <w:r w:rsidRPr="00826045">
        <w:rPr>
          <w:rFonts w:ascii="Titillium Web" w:hAnsi="Titillium Web"/>
        </w:rPr>
        <w:lastRenderedPageBreak/>
        <w:t>bijgevoegde document, de accountant verricht uitsluitend die werkzaamheden die in Standaard 720 zijn voorgeschreven.</w:t>
      </w:r>
    </w:p>
    <w:p w14:paraId="469B2C74" w14:textId="77777777" w:rsidR="008E58AE" w:rsidRPr="00826045" w:rsidRDefault="008E58AE" w:rsidP="00826045">
      <w:pPr>
        <w:rPr>
          <w:rFonts w:ascii="Titillium Web" w:hAnsi="Titillium Web"/>
        </w:rPr>
      </w:pPr>
    </w:p>
    <w:p w14:paraId="4A0532CF" w14:textId="77777777" w:rsidR="00826045" w:rsidRPr="00826045" w:rsidRDefault="00826045" w:rsidP="00826045">
      <w:pPr>
        <w:numPr>
          <w:ilvl w:val="0"/>
          <w:numId w:val="7"/>
        </w:numPr>
        <w:rPr>
          <w:rFonts w:ascii="Titillium Web" w:hAnsi="Titillium Web"/>
          <w:b/>
          <w:bCs/>
          <w:sz w:val="24"/>
          <w:szCs w:val="24"/>
        </w:rPr>
      </w:pPr>
      <w:bookmarkStart w:id="12" w:name="_Toc42769828"/>
      <w:bookmarkStart w:id="13" w:name="_Toc42777240"/>
      <w:bookmarkStart w:id="14" w:name="_Toc42769829"/>
      <w:bookmarkStart w:id="15" w:name="_Toc42777241"/>
      <w:bookmarkStart w:id="16" w:name="_Toc42769834"/>
      <w:bookmarkStart w:id="17" w:name="_Toc42777246"/>
      <w:bookmarkStart w:id="18" w:name="_Toc42777247"/>
      <w:bookmarkEnd w:id="12"/>
      <w:bookmarkEnd w:id="13"/>
      <w:bookmarkEnd w:id="14"/>
      <w:bookmarkEnd w:id="15"/>
      <w:bookmarkEnd w:id="16"/>
      <w:bookmarkEnd w:id="17"/>
      <w:r w:rsidRPr="00826045">
        <w:rPr>
          <w:rFonts w:ascii="Titillium Web" w:hAnsi="Titillium Web"/>
          <w:b/>
          <w:bCs/>
          <w:sz w:val="24"/>
          <w:szCs w:val="24"/>
        </w:rPr>
        <w:t>Rapportage</w:t>
      </w:r>
      <w:bookmarkEnd w:id="18"/>
    </w:p>
    <w:p w14:paraId="447B12C7" w14:textId="77777777" w:rsidR="00826045" w:rsidRPr="00826045" w:rsidRDefault="00826045" w:rsidP="00826045">
      <w:pPr>
        <w:rPr>
          <w:rFonts w:ascii="Titillium Web" w:hAnsi="Titillium Web"/>
        </w:rPr>
      </w:pPr>
    </w:p>
    <w:p w14:paraId="408C457E" w14:textId="77777777" w:rsidR="00826045" w:rsidRPr="00826045" w:rsidRDefault="00826045" w:rsidP="00826045">
      <w:pPr>
        <w:rPr>
          <w:rFonts w:ascii="Titillium Web" w:hAnsi="Titillium Web"/>
        </w:rPr>
      </w:pPr>
      <w:r w:rsidRPr="00826045">
        <w:rPr>
          <w:rFonts w:ascii="Titillium Web" w:hAnsi="Titillium Web"/>
        </w:rPr>
        <w:t xml:space="preserve">De accountant legt de uitkomsten van de controle vast in een controleverklaring over de getrouwheid van deze verantwoording. Voor deze verklaring dient de tekst te worden gehanteerd conform de modelverklaring (bijlage 1). De accountant waarmerkt de gecontroleerde verantwoording. </w:t>
      </w:r>
    </w:p>
    <w:p w14:paraId="6052CD83" w14:textId="77777777" w:rsidR="00826045" w:rsidRPr="00826045" w:rsidRDefault="00826045" w:rsidP="00826045">
      <w:pPr>
        <w:rPr>
          <w:rFonts w:ascii="Titillium Web" w:hAnsi="Titillium Web"/>
        </w:rPr>
      </w:pPr>
    </w:p>
    <w:p w14:paraId="63A2F327" w14:textId="77777777" w:rsidR="00826045" w:rsidRPr="00826045" w:rsidRDefault="00826045" w:rsidP="00826045">
      <w:pPr>
        <w:rPr>
          <w:rFonts w:ascii="Titillium Web" w:hAnsi="Titillium Web"/>
        </w:rPr>
      </w:pPr>
      <w:r w:rsidRPr="00826045">
        <w:rPr>
          <w:rFonts w:ascii="Titillium Web" w:hAnsi="Titillium Web"/>
        </w:rPr>
        <w:t xml:space="preserve">Naast zijn oordeel over de financiële verantwoording vermeldt de accountant in een toelichtende paragraaf eventuele specifieke bevindingen die naar het oordeel van de accountant van belang (kunnen) zijn voor het Agis Innovatiefonds. </w:t>
      </w:r>
    </w:p>
    <w:p w14:paraId="7D5713D4" w14:textId="77777777" w:rsidR="00826045" w:rsidRPr="00826045" w:rsidRDefault="00826045" w:rsidP="00826045">
      <w:pPr>
        <w:rPr>
          <w:rFonts w:ascii="Titillium Web" w:hAnsi="Titillium Web"/>
        </w:rPr>
      </w:pPr>
    </w:p>
    <w:p w14:paraId="10A0A51A" w14:textId="77777777" w:rsidR="00826045" w:rsidRPr="00826045" w:rsidRDefault="00826045" w:rsidP="00826045">
      <w:pPr>
        <w:rPr>
          <w:rFonts w:ascii="Titillium Web" w:hAnsi="Titillium Web"/>
        </w:rPr>
      </w:pPr>
    </w:p>
    <w:p w14:paraId="7DEA9E4C" w14:textId="77777777" w:rsidR="00826045" w:rsidRPr="00826045" w:rsidRDefault="00826045" w:rsidP="00826045">
      <w:pPr>
        <w:rPr>
          <w:rFonts w:ascii="Titillium Web" w:hAnsi="Titillium Web"/>
        </w:rPr>
      </w:pPr>
    </w:p>
    <w:p w14:paraId="2CC7D13B" w14:textId="77777777" w:rsidR="00826045" w:rsidRPr="00826045" w:rsidRDefault="00826045" w:rsidP="00826045">
      <w:pPr>
        <w:rPr>
          <w:rFonts w:ascii="Titillium Web" w:hAnsi="Titillium Web"/>
        </w:rPr>
      </w:pPr>
    </w:p>
    <w:p w14:paraId="08B29596" w14:textId="77777777" w:rsidR="00826045" w:rsidRPr="00826045" w:rsidRDefault="00826045" w:rsidP="00826045">
      <w:pPr>
        <w:rPr>
          <w:rFonts w:ascii="Titillium Web" w:hAnsi="Titillium Web"/>
        </w:rPr>
      </w:pPr>
    </w:p>
    <w:p w14:paraId="4621441A" w14:textId="77777777" w:rsidR="00826045" w:rsidRPr="00826045" w:rsidRDefault="00826045" w:rsidP="00826045">
      <w:pPr>
        <w:rPr>
          <w:rFonts w:ascii="Titillium Web" w:hAnsi="Titillium Web"/>
        </w:rPr>
      </w:pPr>
    </w:p>
    <w:p w14:paraId="053E8486" w14:textId="77777777" w:rsidR="00826045" w:rsidRPr="00826045" w:rsidRDefault="00826045" w:rsidP="00826045">
      <w:pPr>
        <w:rPr>
          <w:rFonts w:ascii="Titillium Web" w:hAnsi="Titillium Web"/>
        </w:rPr>
      </w:pPr>
    </w:p>
    <w:p w14:paraId="4A6EAB72" w14:textId="77777777" w:rsidR="00826045" w:rsidRPr="00826045" w:rsidRDefault="00826045" w:rsidP="00826045">
      <w:pPr>
        <w:rPr>
          <w:rFonts w:ascii="Titillium Web" w:hAnsi="Titillium Web"/>
        </w:rPr>
      </w:pPr>
    </w:p>
    <w:p w14:paraId="12B4190C" w14:textId="77777777" w:rsidR="00826045" w:rsidRPr="00826045" w:rsidRDefault="00826045" w:rsidP="00826045">
      <w:pPr>
        <w:rPr>
          <w:rFonts w:ascii="Titillium Web" w:hAnsi="Titillium Web"/>
        </w:rPr>
      </w:pPr>
      <w:r w:rsidRPr="00826045">
        <w:rPr>
          <w:rFonts w:ascii="Titillium Web" w:hAnsi="Titillium Web"/>
        </w:rPr>
        <w:br w:type="page"/>
      </w:r>
    </w:p>
    <w:p w14:paraId="223192AA" w14:textId="77777777" w:rsidR="00826045" w:rsidRPr="00826045" w:rsidRDefault="00826045" w:rsidP="00826045">
      <w:pPr>
        <w:rPr>
          <w:rFonts w:ascii="Titillium Web" w:hAnsi="Titillium Web"/>
          <w:color w:val="0070C0"/>
          <w:sz w:val="28"/>
          <w:szCs w:val="28"/>
        </w:rPr>
      </w:pPr>
      <w:bookmarkStart w:id="19" w:name="_Toc42777248"/>
      <w:r w:rsidRPr="00826045">
        <w:rPr>
          <w:rFonts w:ascii="Titillium Web" w:hAnsi="Titillium Web"/>
          <w:color w:val="0070C0"/>
          <w:sz w:val="28"/>
          <w:szCs w:val="28"/>
        </w:rPr>
        <w:lastRenderedPageBreak/>
        <w:t xml:space="preserve">Bijlage 1 </w:t>
      </w:r>
      <w:r w:rsidRPr="00826045">
        <w:rPr>
          <w:rFonts w:ascii="Titillium Web" w:hAnsi="Titillium Web"/>
          <w:color w:val="0070C0"/>
          <w:sz w:val="28"/>
          <w:szCs w:val="28"/>
        </w:rPr>
        <w:tab/>
        <w:t>Model controleverklaring</w:t>
      </w:r>
      <w:bookmarkEnd w:id="19"/>
      <w:r w:rsidRPr="00826045">
        <w:rPr>
          <w:rFonts w:ascii="Titillium Web" w:hAnsi="Titillium Web"/>
          <w:color w:val="0070C0"/>
          <w:sz w:val="28"/>
          <w:szCs w:val="28"/>
        </w:rPr>
        <w:t xml:space="preserve"> </w:t>
      </w:r>
    </w:p>
    <w:p w14:paraId="62D44B2A" w14:textId="77777777" w:rsidR="00826045" w:rsidRPr="00826045" w:rsidRDefault="00826045" w:rsidP="00826045">
      <w:pPr>
        <w:rPr>
          <w:rFonts w:ascii="Titillium Web" w:hAnsi="Titillium Web"/>
          <w:b/>
          <w:bCs/>
          <w:sz w:val="24"/>
          <w:szCs w:val="24"/>
        </w:rPr>
      </w:pPr>
    </w:p>
    <w:p w14:paraId="05546812" w14:textId="77777777" w:rsidR="00826045" w:rsidRPr="00826045" w:rsidRDefault="00826045" w:rsidP="00826045">
      <w:pPr>
        <w:rPr>
          <w:rFonts w:ascii="Titillium Web" w:hAnsi="Titillium Web"/>
          <w:b/>
          <w:bCs/>
          <w:sz w:val="24"/>
          <w:szCs w:val="24"/>
        </w:rPr>
      </w:pPr>
      <w:r w:rsidRPr="00826045">
        <w:rPr>
          <w:rFonts w:ascii="Titillium Web" w:hAnsi="Titillium Web"/>
          <w:b/>
          <w:bCs/>
          <w:sz w:val="24"/>
          <w:szCs w:val="24"/>
        </w:rPr>
        <w:t>Controleverklaring van de onafhankelijke accountant</w:t>
      </w:r>
    </w:p>
    <w:p w14:paraId="12293DE7" w14:textId="77777777" w:rsidR="00761449" w:rsidRDefault="00761449" w:rsidP="00826045">
      <w:pPr>
        <w:rPr>
          <w:rFonts w:ascii="Titillium Web" w:hAnsi="Titillium Web"/>
        </w:rPr>
      </w:pPr>
    </w:p>
    <w:p w14:paraId="533885B5" w14:textId="77777777" w:rsidR="00826045" w:rsidRPr="00826045" w:rsidRDefault="00826045" w:rsidP="00826045">
      <w:pPr>
        <w:rPr>
          <w:rFonts w:ascii="Titillium Web" w:hAnsi="Titillium Web"/>
        </w:rPr>
      </w:pPr>
      <w:r w:rsidRPr="00826045">
        <w:rPr>
          <w:rFonts w:ascii="Titillium Web" w:hAnsi="Titillium Web"/>
        </w:rPr>
        <w:t xml:space="preserve">Afgegeven ten behoeve van Agis Innovatiefonds </w:t>
      </w:r>
    </w:p>
    <w:p w14:paraId="3A6E52D6" w14:textId="77777777" w:rsidR="00826045" w:rsidRPr="00826045" w:rsidRDefault="00826045" w:rsidP="00826045">
      <w:pPr>
        <w:rPr>
          <w:rFonts w:ascii="Titillium Web" w:hAnsi="Titillium Web"/>
        </w:rPr>
      </w:pPr>
    </w:p>
    <w:p w14:paraId="356CACAA" w14:textId="77777777" w:rsidR="00826045" w:rsidRDefault="00826045" w:rsidP="00826045">
      <w:pPr>
        <w:rPr>
          <w:rFonts w:ascii="Titillium Web" w:hAnsi="Titillium Web"/>
        </w:rPr>
      </w:pPr>
      <w:r w:rsidRPr="00826045">
        <w:rPr>
          <w:rFonts w:ascii="Titillium Web" w:hAnsi="Titillium Web"/>
        </w:rPr>
        <w:t xml:space="preserve">Aan: </w:t>
      </w:r>
      <w:r w:rsidRPr="00826045">
        <w:rPr>
          <w:rFonts w:ascii="Titillium Web" w:hAnsi="Titillium Web"/>
        </w:rPr>
        <w:tab/>
        <w:t>Opdrachtgever</w:t>
      </w:r>
      <w:r w:rsidRPr="00826045">
        <w:rPr>
          <w:rFonts w:ascii="Titillium Web" w:hAnsi="Titillium Web"/>
        </w:rPr>
        <w:br/>
      </w:r>
    </w:p>
    <w:p w14:paraId="2528D631" w14:textId="77777777" w:rsidR="0069553E" w:rsidRPr="00826045" w:rsidRDefault="0069553E" w:rsidP="00826045">
      <w:pPr>
        <w:rPr>
          <w:rFonts w:ascii="Titillium Web" w:hAnsi="Titillium Web"/>
        </w:rPr>
      </w:pPr>
    </w:p>
    <w:p w14:paraId="2AADE6E0" w14:textId="77777777" w:rsidR="00826045" w:rsidRPr="00761449" w:rsidRDefault="00826045" w:rsidP="00826045">
      <w:pPr>
        <w:rPr>
          <w:rFonts w:ascii="Titillium Web" w:hAnsi="Titillium Web"/>
          <w:b/>
          <w:bCs/>
        </w:rPr>
      </w:pPr>
      <w:r w:rsidRPr="00826045">
        <w:rPr>
          <w:rFonts w:ascii="Titillium Web" w:hAnsi="Titillium Web"/>
          <w:b/>
          <w:bCs/>
        </w:rPr>
        <w:t>Oordeel</w:t>
      </w:r>
    </w:p>
    <w:p w14:paraId="6C7EE761" w14:textId="77777777" w:rsidR="00761449" w:rsidRPr="00826045" w:rsidRDefault="00761449" w:rsidP="00826045">
      <w:pPr>
        <w:rPr>
          <w:rFonts w:ascii="Titillium Web" w:hAnsi="Titillium Web"/>
        </w:rPr>
      </w:pPr>
    </w:p>
    <w:p w14:paraId="5B7F636E" w14:textId="77777777" w:rsidR="00826045" w:rsidRDefault="00826045" w:rsidP="00826045">
      <w:pPr>
        <w:rPr>
          <w:rFonts w:ascii="Titillium Web" w:hAnsi="Titillium Web"/>
        </w:rPr>
      </w:pPr>
      <w:r w:rsidRPr="00826045">
        <w:rPr>
          <w:rFonts w:ascii="Titillium Web" w:hAnsi="Titillium Web"/>
        </w:rPr>
        <w:t xml:space="preserve">Wij hebben de door ons gewaarmerkte eindafrekening ingevolge (naam project) van (naam entiteit) te (statutaire vestigingsplaats) over (periode/jaar) gecontroleerd. </w:t>
      </w:r>
    </w:p>
    <w:p w14:paraId="41166214" w14:textId="77777777" w:rsidR="00761449" w:rsidRPr="00826045" w:rsidRDefault="00761449" w:rsidP="00826045">
      <w:pPr>
        <w:rPr>
          <w:rFonts w:ascii="Titillium Web" w:hAnsi="Titillium Web"/>
        </w:rPr>
      </w:pPr>
    </w:p>
    <w:p w14:paraId="12BD816B" w14:textId="77777777" w:rsidR="00826045" w:rsidRDefault="00826045" w:rsidP="00826045">
      <w:pPr>
        <w:rPr>
          <w:rFonts w:ascii="Titillium Web" w:hAnsi="Titillium Web"/>
        </w:rPr>
      </w:pPr>
      <w:r w:rsidRPr="00826045">
        <w:rPr>
          <w:rFonts w:ascii="Titillium Web" w:hAnsi="Titillium Web"/>
        </w:rPr>
        <w:t xml:space="preserve">Naar ons oordeel is de eindrapportage van (naam entiteit) over (periode/jaar) in alle van materieel belang zijnde aspecten opgesteld in overeenstemming met de eisen en aanwijzingen van het Agis Innovatiefonds zoals opgenomen in Algemene Subsidie Voorwaarden en versie 1 van het accountantsprotocol. </w:t>
      </w:r>
    </w:p>
    <w:p w14:paraId="0B1AABC8" w14:textId="77777777" w:rsidR="00761449" w:rsidRPr="00826045" w:rsidRDefault="00761449" w:rsidP="00826045">
      <w:pPr>
        <w:rPr>
          <w:rFonts w:ascii="Titillium Web" w:hAnsi="Titillium Web"/>
        </w:rPr>
      </w:pPr>
    </w:p>
    <w:p w14:paraId="193CDD31" w14:textId="77777777" w:rsidR="00826045" w:rsidRPr="00826045" w:rsidRDefault="00826045" w:rsidP="00826045">
      <w:pPr>
        <w:rPr>
          <w:rFonts w:ascii="Titillium Web" w:hAnsi="Titillium Web"/>
        </w:rPr>
      </w:pPr>
      <w:r w:rsidRPr="00826045">
        <w:rPr>
          <w:rFonts w:ascii="Titillium Web" w:hAnsi="Titillium Web"/>
        </w:rPr>
        <w:t xml:space="preserve">Eindrapportage bestaat uit: </w:t>
      </w:r>
    </w:p>
    <w:p w14:paraId="4EFE69DB" w14:textId="77777777" w:rsidR="00826045" w:rsidRPr="00826045" w:rsidRDefault="00826045" w:rsidP="00826045">
      <w:pPr>
        <w:numPr>
          <w:ilvl w:val="0"/>
          <w:numId w:val="8"/>
        </w:numPr>
        <w:rPr>
          <w:rFonts w:ascii="Titillium Web" w:hAnsi="Titillium Web"/>
        </w:rPr>
      </w:pPr>
      <w:r w:rsidRPr="00826045">
        <w:rPr>
          <w:rFonts w:ascii="Titillium Web" w:hAnsi="Titillium Web"/>
        </w:rPr>
        <w:t xml:space="preserve">Financiële verantwoording </w:t>
      </w:r>
    </w:p>
    <w:p w14:paraId="112FD439" w14:textId="77777777" w:rsidR="00826045" w:rsidRDefault="00826045" w:rsidP="00826045">
      <w:pPr>
        <w:numPr>
          <w:ilvl w:val="0"/>
          <w:numId w:val="8"/>
        </w:numPr>
        <w:rPr>
          <w:rFonts w:ascii="Titillium Web" w:hAnsi="Titillium Web"/>
        </w:rPr>
      </w:pPr>
      <w:r w:rsidRPr="00826045">
        <w:rPr>
          <w:rFonts w:ascii="Titillium Web" w:hAnsi="Titillium Web"/>
        </w:rPr>
        <w:t>Inhoudelijke verantwoording activiteiten</w:t>
      </w:r>
    </w:p>
    <w:p w14:paraId="72ED4421" w14:textId="77777777" w:rsidR="00761449" w:rsidRPr="00826045" w:rsidRDefault="00761449" w:rsidP="00761449">
      <w:pPr>
        <w:rPr>
          <w:rFonts w:ascii="Titillium Web" w:hAnsi="Titillium Web"/>
        </w:rPr>
      </w:pPr>
    </w:p>
    <w:p w14:paraId="135B9363" w14:textId="77777777" w:rsidR="00826045" w:rsidRDefault="00826045" w:rsidP="00826045">
      <w:pPr>
        <w:rPr>
          <w:rFonts w:ascii="Titillium Web" w:hAnsi="Titillium Web"/>
          <w:b/>
          <w:bCs/>
        </w:rPr>
      </w:pPr>
      <w:r w:rsidRPr="00826045">
        <w:rPr>
          <w:rFonts w:ascii="Titillium Web" w:hAnsi="Titillium Web"/>
          <w:b/>
          <w:bCs/>
        </w:rPr>
        <w:t xml:space="preserve">De basis voor ons oordeel </w:t>
      </w:r>
    </w:p>
    <w:p w14:paraId="3B31F7EF" w14:textId="77777777" w:rsidR="00761449" w:rsidRPr="00826045" w:rsidRDefault="00761449" w:rsidP="00826045">
      <w:pPr>
        <w:rPr>
          <w:rFonts w:ascii="Titillium Web" w:hAnsi="Titillium Web"/>
          <w:b/>
          <w:bCs/>
        </w:rPr>
      </w:pPr>
    </w:p>
    <w:p w14:paraId="070163CB" w14:textId="79C70877" w:rsidR="00826045" w:rsidRPr="00826045" w:rsidRDefault="00826045" w:rsidP="00826045">
      <w:pPr>
        <w:rPr>
          <w:rFonts w:ascii="Titillium Web" w:hAnsi="Titillium Web"/>
        </w:rPr>
      </w:pPr>
      <w:r w:rsidRPr="00826045">
        <w:rPr>
          <w:rFonts w:ascii="Titillium Web" w:hAnsi="Titillium Web"/>
        </w:rPr>
        <w:t xml:space="preserve">Wij hebben onze controle uitgevoerd volgens het Nederlands recht, waaronder ook de Nederlandse controlestandaarden en versie 1 van het accountantsprotocol behorend bij de Algemene Subsidievoorwaarden </w:t>
      </w:r>
      <w:proofErr w:type="spellStart"/>
      <w:r w:rsidRPr="00826045">
        <w:rPr>
          <w:rFonts w:ascii="Titillium Web" w:hAnsi="Titillium Web"/>
        </w:rPr>
        <w:t>Agis</w:t>
      </w:r>
      <w:proofErr w:type="spellEnd"/>
      <w:r w:rsidRPr="00826045">
        <w:rPr>
          <w:rFonts w:ascii="Titillium Web" w:hAnsi="Titillium Web"/>
        </w:rPr>
        <w:t xml:space="preserve"> Innovatiefonds. Onze verantwoordelijkheden op grond hiervan zijn beschreven in de sectie 'Onze</w:t>
      </w:r>
      <w:r w:rsidR="00761449">
        <w:rPr>
          <w:rFonts w:ascii="Titillium Web" w:hAnsi="Titillium Web"/>
        </w:rPr>
        <w:t xml:space="preserve"> </w:t>
      </w:r>
      <w:r w:rsidRPr="00826045">
        <w:rPr>
          <w:rFonts w:ascii="Titillium Web" w:hAnsi="Titillium Web"/>
        </w:rPr>
        <w:t xml:space="preserve">verantwoordelijkheden voor de controle van de financiële verantwoording'.  </w:t>
      </w:r>
    </w:p>
    <w:p w14:paraId="5B5E1FA9" w14:textId="77777777" w:rsidR="00826045" w:rsidRPr="00826045" w:rsidRDefault="00826045" w:rsidP="00826045">
      <w:pPr>
        <w:rPr>
          <w:rFonts w:ascii="Titillium Web" w:hAnsi="Titillium Web"/>
        </w:rPr>
      </w:pPr>
      <w:r w:rsidRPr="00826045">
        <w:rPr>
          <w:rFonts w:ascii="Titillium Web" w:hAnsi="Titillium Web"/>
        </w:rPr>
        <w:t xml:space="preserve"> </w:t>
      </w:r>
    </w:p>
    <w:p w14:paraId="44F18A15" w14:textId="77777777" w:rsidR="00826045" w:rsidRPr="00826045" w:rsidRDefault="00826045" w:rsidP="00826045">
      <w:pPr>
        <w:rPr>
          <w:rFonts w:ascii="Titillium Web" w:hAnsi="Titillium Web"/>
        </w:rPr>
      </w:pPr>
      <w:r w:rsidRPr="00826045">
        <w:rPr>
          <w:rFonts w:ascii="Titillium Web" w:hAnsi="Titillium Web"/>
        </w:rPr>
        <w:t xml:space="preserve">Wij zijn onafhankelijk van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014B32DB" w14:textId="77777777" w:rsidR="00826045" w:rsidRPr="00826045" w:rsidRDefault="00826045" w:rsidP="00826045">
      <w:pPr>
        <w:rPr>
          <w:rFonts w:ascii="Titillium Web" w:hAnsi="Titillium Web"/>
        </w:rPr>
      </w:pPr>
      <w:r w:rsidRPr="00826045">
        <w:rPr>
          <w:rFonts w:ascii="Titillium Web" w:hAnsi="Titillium Web"/>
        </w:rPr>
        <w:t xml:space="preserve"> </w:t>
      </w:r>
    </w:p>
    <w:p w14:paraId="3CEAAC43" w14:textId="77777777" w:rsidR="00826045" w:rsidRDefault="00826045" w:rsidP="00826045">
      <w:pPr>
        <w:rPr>
          <w:rFonts w:ascii="Titillium Web" w:hAnsi="Titillium Web"/>
        </w:rPr>
      </w:pPr>
      <w:r w:rsidRPr="00826045">
        <w:rPr>
          <w:rFonts w:ascii="Titillium Web" w:hAnsi="Titillium Web"/>
        </w:rPr>
        <w:t>Wij vinden dat de door ons verkregen controle-informatie voldoende en geschikt is als basis voor ons oordeel.</w:t>
      </w:r>
    </w:p>
    <w:p w14:paraId="11DF62BB" w14:textId="77777777" w:rsidR="00761449" w:rsidRPr="00826045" w:rsidRDefault="00761449" w:rsidP="00826045">
      <w:pPr>
        <w:rPr>
          <w:rFonts w:ascii="Titillium Web" w:hAnsi="Titillium Web"/>
        </w:rPr>
      </w:pPr>
    </w:p>
    <w:p w14:paraId="41DB5D73" w14:textId="77777777" w:rsidR="00826045" w:rsidRDefault="00826045" w:rsidP="00826045">
      <w:pPr>
        <w:rPr>
          <w:rFonts w:ascii="Titillium Web" w:hAnsi="Titillium Web"/>
          <w:b/>
          <w:bCs/>
        </w:rPr>
      </w:pPr>
      <w:r w:rsidRPr="00826045">
        <w:rPr>
          <w:rFonts w:ascii="Titillium Web" w:hAnsi="Titillium Web"/>
          <w:b/>
          <w:bCs/>
        </w:rPr>
        <w:lastRenderedPageBreak/>
        <w:t>Paragraaf betreffende overige aangelegenheden</w:t>
      </w:r>
    </w:p>
    <w:p w14:paraId="179CE37D" w14:textId="77777777" w:rsidR="00761449" w:rsidRPr="00826045" w:rsidRDefault="00761449" w:rsidP="00826045">
      <w:pPr>
        <w:rPr>
          <w:rFonts w:ascii="Titillium Web" w:hAnsi="Titillium Web"/>
          <w:b/>
          <w:bCs/>
        </w:rPr>
      </w:pPr>
    </w:p>
    <w:p w14:paraId="78CFFCA9" w14:textId="77777777" w:rsidR="00826045" w:rsidRDefault="00826045" w:rsidP="00826045">
      <w:pPr>
        <w:rPr>
          <w:rFonts w:ascii="Titillium Web" w:hAnsi="Titillium Web"/>
        </w:rPr>
      </w:pPr>
      <w:r w:rsidRPr="00826045">
        <w:rPr>
          <w:rFonts w:ascii="Titillium Web" w:hAnsi="Titillium Web"/>
        </w:rPr>
        <w:t>Deze controleverklaring is uitsluitend bestemd voor het bestuur van (naam entiteit) en voor Agis Innovatiefonds. Deze controleverklaring wordt uitsluitend verstrekt in het kader van de eindverantwoording van de subsidie en mag derhalve niet voor andere doeleinden worden gebruikt.</w:t>
      </w:r>
    </w:p>
    <w:p w14:paraId="5E1CDFD2" w14:textId="77777777" w:rsidR="00761449" w:rsidRPr="00826045" w:rsidRDefault="00761449" w:rsidP="00826045">
      <w:pPr>
        <w:rPr>
          <w:rFonts w:ascii="Titillium Web" w:hAnsi="Titillium Web"/>
        </w:rPr>
      </w:pPr>
    </w:p>
    <w:p w14:paraId="14C36205" w14:textId="77777777" w:rsidR="00826045" w:rsidRDefault="00826045" w:rsidP="00826045">
      <w:pPr>
        <w:rPr>
          <w:rFonts w:ascii="Titillium Web" w:hAnsi="Titillium Web"/>
          <w:b/>
          <w:bCs/>
        </w:rPr>
      </w:pPr>
      <w:r w:rsidRPr="00826045">
        <w:rPr>
          <w:rFonts w:ascii="Titillium Web" w:hAnsi="Titillium Web"/>
          <w:b/>
          <w:bCs/>
        </w:rPr>
        <w:t>Benadrukking van de basis voor financiële verslaggeving en beperking in gebruik en verspreidingskring</w:t>
      </w:r>
    </w:p>
    <w:p w14:paraId="26940E6B" w14:textId="77777777" w:rsidR="00761449" w:rsidRPr="00826045" w:rsidRDefault="00761449" w:rsidP="00826045">
      <w:pPr>
        <w:rPr>
          <w:rFonts w:ascii="Titillium Web" w:hAnsi="Titillium Web"/>
          <w:b/>
          <w:bCs/>
        </w:rPr>
      </w:pPr>
    </w:p>
    <w:p w14:paraId="18F9E5FB" w14:textId="77777777" w:rsidR="00826045" w:rsidRDefault="00826045" w:rsidP="00826045">
      <w:pPr>
        <w:rPr>
          <w:rFonts w:ascii="Titillium Web" w:hAnsi="Titillium Web"/>
        </w:rPr>
      </w:pPr>
      <w:r w:rsidRPr="00826045">
        <w:rPr>
          <w:rFonts w:ascii="Titillium Web" w:hAnsi="Titillium Web"/>
        </w:rPr>
        <w:t>De eindrapportage (met bijlagen) is opgesteld voor Agis Innovatiefonds met als doel (naam entiteit) in staat te stellen te voldoen aan eisen en aanwijzingen van het Agis Innovatiefonds. Hierdoor is de eindrapportage (met bijlagen) niet geschikt voor andere doeleinden. Onze controleverklaring is derhalve uitsluitend bestemd voor (naam entiteit) en Agis Innovatiefonds en dient niet te worden verspreid aan of te worden gebruikt door anderen. Ons oordeel is niet aangepast als gevolg van deze aangelegenheid.</w:t>
      </w:r>
    </w:p>
    <w:p w14:paraId="45F8901F" w14:textId="77777777" w:rsidR="00761449" w:rsidRPr="00826045" w:rsidRDefault="00761449" w:rsidP="00826045">
      <w:pPr>
        <w:rPr>
          <w:rFonts w:ascii="Titillium Web" w:hAnsi="Titillium Web"/>
        </w:rPr>
      </w:pPr>
    </w:p>
    <w:p w14:paraId="6BBDC91B" w14:textId="77777777" w:rsidR="00826045" w:rsidRPr="00761449" w:rsidRDefault="00826045" w:rsidP="00826045">
      <w:pPr>
        <w:rPr>
          <w:rFonts w:ascii="Titillium Web" w:hAnsi="Titillium Web"/>
          <w:b/>
          <w:bCs/>
        </w:rPr>
      </w:pPr>
      <w:r w:rsidRPr="00826045">
        <w:rPr>
          <w:rFonts w:ascii="Titillium Web" w:hAnsi="Titillium Web"/>
          <w:b/>
          <w:bCs/>
        </w:rPr>
        <w:t xml:space="preserve">Andere informatie </w:t>
      </w:r>
    </w:p>
    <w:p w14:paraId="6AD8F476" w14:textId="77777777" w:rsidR="00761449" w:rsidRPr="00826045" w:rsidRDefault="00761449" w:rsidP="00826045">
      <w:pPr>
        <w:rPr>
          <w:rFonts w:ascii="Titillium Web" w:hAnsi="Titillium Web"/>
        </w:rPr>
      </w:pPr>
    </w:p>
    <w:p w14:paraId="20274330" w14:textId="77777777" w:rsidR="00826045" w:rsidRDefault="00826045" w:rsidP="00826045">
      <w:pPr>
        <w:rPr>
          <w:rFonts w:ascii="Titillium Web" w:hAnsi="Titillium Web"/>
        </w:rPr>
      </w:pPr>
      <w:r w:rsidRPr="00826045">
        <w:rPr>
          <w:rFonts w:ascii="Titillium Web" w:hAnsi="Titillium Web"/>
        </w:rPr>
        <w:t xml:space="preserve">De eindrapportage omvat andere informatie, die bestaat uit een inhoudelijk verslag over de activiteiten. </w:t>
      </w:r>
    </w:p>
    <w:p w14:paraId="1D4946B5" w14:textId="77777777" w:rsidR="00761449" w:rsidRPr="00826045" w:rsidRDefault="00761449" w:rsidP="00826045">
      <w:pPr>
        <w:rPr>
          <w:rFonts w:ascii="Titillium Web" w:hAnsi="Titillium Web"/>
        </w:rPr>
      </w:pPr>
    </w:p>
    <w:p w14:paraId="1F2A3F0F" w14:textId="77777777" w:rsidR="00826045" w:rsidRDefault="00826045" w:rsidP="00826045">
      <w:pPr>
        <w:rPr>
          <w:rFonts w:ascii="Titillium Web" w:hAnsi="Titillium Web"/>
        </w:rPr>
      </w:pPr>
      <w:r w:rsidRPr="00826045">
        <w:rPr>
          <w:rFonts w:ascii="Titillium Web" w:hAnsi="Titillium Web"/>
        </w:rPr>
        <w:t xml:space="preserve">Op grond van onderstaande werkzaamheden zijn wij van mening dat de andere informatie de financiële verantwoording verenigbaar is en geen materiële afwijkingen bevat. </w:t>
      </w:r>
    </w:p>
    <w:p w14:paraId="32C1E9DB" w14:textId="77777777" w:rsidR="00761449" w:rsidRPr="00826045" w:rsidRDefault="00761449" w:rsidP="00826045">
      <w:pPr>
        <w:rPr>
          <w:rFonts w:ascii="Titillium Web" w:hAnsi="Titillium Web"/>
        </w:rPr>
      </w:pPr>
    </w:p>
    <w:p w14:paraId="5435545E" w14:textId="77777777" w:rsidR="00826045" w:rsidRDefault="00826045" w:rsidP="00826045">
      <w:pPr>
        <w:rPr>
          <w:rFonts w:ascii="Titillium Web" w:hAnsi="Titillium Web"/>
        </w:rPr>
      </w:pPr>
      <w:r w:rsidRPr="00826045">
        <w:rPr>
          <w:rFonts w:ascii="Titillium Web" w:hAnsi="Titillium Web"/>
        </w:rPr>
        <w:t xml:space="preserve">Wij hebben de andere informatie gelezen en hebben op basis van onze kennis en ons begrip, verkregen vanuit de controle of anderszins, overwogen of de andere informatie materiële afwijkingen bevat. </w:t>
      </w:r>
    </w:p>
    <w:p w14:paraId="1CF283E0" w14:textId="77777777" w:rsidR="00761449" w:rsidRPr="00826045" w:rsidRDefault="00761449" w:rsidP="00826045">
      <w:pPr>
        <w:rPr>
          <w:rFonts w:ascii="Titillium Web" w:hAnsi="Titillium Web"/>
        </w:rPr>
      </w:pPr>
    </w:p>
    <w:p w14:paraId="1EB9E72B" w14:textId="77777777" w:rsidR="00826045" w:rsidRDefault="00826045" w:rsidP="00826045">
      <w:pPr>
        <w:rPr>
          <w:rFonts w:ascii="Titillium Web" w:hAnsi="Titillium Web"/>
        </w:rPr>
      </w:pPr>
      <w:r w:rsidRPr="00826045">
        <w:rPr>
          <w:rFonts w:ascii="Titillium Web" w:hAnsi="Titillium Web"/>
        </w:rPr>
        <w:t xml:space="preserve">Met onze werkzaamheden hebben wij voldaan aan de vereisten in de Nederlandse Standaard 720. Deze werkzaamheden hebben niet dezelfde diepgang als onze controlewerkzaamheden bij de financiële verantwoording.  </w:t>
      </w:r>
    </w:p>
    <w:p w14:paraId="5CE61856" w14:textId="77777777" w:rsidR="00761449" w:rsidRPr="00826045" w:rsidRDefault="00761449" w:rsidP="00826045">
      <w:pPr>
        <w:rPr>
          <w:rFonts w:ascii="Titillium Web" w:hAnsi="Titillium Web"/>
        </w:rPr>
      </w:pPr>
    </w:p>
    <w:p w14:paraId="02409288" w14:textId="77777777" w:rsidR="00826045" w:rsidRDefault="00826045" w:rsidP="00826045">
      <w:pPr>
        <w:rPr>
          <w:rFonts w:ascii="Titillium Web" w:hAnsi="Titillium Web"/>
        </w:rPr>
      </w:pPr>
      <w:r w:rsidRPr="00826045">
        <w:rPr>
          <w:rFonts w:ascii="Titillium Web" w:hAnsi="Titillium Web"/>
        </w:rPr>
        <w:t>Het bestuur is verantwoordelijk voor het opstellen van de andere informatie.</w:t>
      </w:r>
    </w:p>
    <w:p w14:paraId="0242257B" w14:textId="77777777" w:rsidR="00761449" w:rsidRDefault="00761449" w:rsidP="00826045">
      <w:pPr>
        <w:rPr>
          <w:rFonts w:ascii="Titillium Web" w:hAnsi="Titillium Web"/>
        </w:rPr>
      </w:pPr>
    </w:p>
    <w:p w14:paraId="3EA48A65" w14:textId="77777777" w:rsidR="0069553E" w:rsidRDefault="0069553E" w:rsidP="00826045">
      <w:pPr>
        <w:rPr>
          <w:rFonts w:ascii="Titillium Web" w:hAnsi="Titillium Web"/>
        </w:rPr>
      </w:pPr>
    </w:p>
    <w:p w14:paraId="495E23B2" w14:textId="77777777" w:rsidR="0069553E" w:rsidRDefault="0069553E" w:rsidP="00826045">
      <w:pPr>
        <w:rPr>
          <w:rFonts w:ascii="Titillium Web" w:hAnsi="Titillium Web"/>
        </w:rPr>
      </w:pPr>
    </w:p>
    <w:p w14:paraId="3B8C4226" w14:textId="77777777" w:rsidR="0069553E" w:rsidRDefault="0069553E" w:rsidP="00826045">
      <w:pPr>
        <w:rPr>
          <w:rFonts w:ascii="Titillium Web" w:hAnsi="Titillium Web"/>
        </w:rPr>
      </w:pPr>
    </w:p>
    <w:p w14:paraId="0ED28785" w14:textId="77777777" w:rsidR="0069553E" w:rsidRDefault="0069553E" w:rsidP="00826045">
      <w:pPr>
        <w:rPr>
          <w:rFonts w:ascii="Titillium Web" w:hAnsi="Titillium Web"/>
        </w:rPr>
      </w:pPr>
    </w:p>
    <w:p w14:paraId="3DA5B961" w14:textId="77777777" w:rsidR="0069553E" w:rsidRPr="00826045" w:rsidRDefault="0069553E" w:rsidP="00826045">
      <w:pPr>
        <w:rPr>
          <w:rFonts w:ascii="Titillium Web" w:hAnsi="Titillium Web"/>
        </w:rPr>
      </w:pPr>
    </w:p>
    <w:p w14:paraId="19C5A3B2" w14:textId="77777777" w:rsidR="00826045" w:rsidRDefault="00826045" w:rsidP="00826045">
      <w:pPr>
        <w:rPr>
          <w:rFonts w:ascii="Titillium Web" w:hAnsi="Titillium Web"/>
          <w:b/>
          <w:bCs/>
        </w:rPr>
      </w:pPr>
      <w:r w:rsidRPr="00826045">
        <w:rPr>
          <w:rFonts w:ascii="Titillium Web" w:hAnsi="Titillium Web"/>
          <w:b/>
          <w:bCs/>
        </w:rPr>
        <w:lastRenderedPageBreak/>
        <w:t xml:space="preserve">Verantwoordelijkheid van het bestuur </w:t>
      </w:r>
    </w:p>
    <w:p w14:paraId="4E2594E4" w14:textId="77777777" w:rsidR="00761449" w:rsidRPr="00826045" w:rsidRDefault="00761449" w:rsidP="00826045">
      <w:pPr>
        <w:rPr>
          <w:rFonts w:ascii="Titillium Web" w:hAnsi="Titillium Web"/>
          <w:b/>
          <w:bCs/>
        </w:rPr>
      </w:pPr>
    </w:p>
    <w:p w14:paraId="12CDD5A2" w14:textId="77777777" w:rsidR="00826045" w:rsidRDefault="00826045" w:rsidP="00826045">
      <w:pPr>
        <w:rPr>
          <w:rFonts w:ascii="Titillium Web" w:hAnsi="Titillium Web"/>
        </w:rPr>
      </w:pPr>
      <w:r w:rsidRPr="00826045">
        <w:rPr>
          <w:rFonts w:ascii="Titillium Web" w:hAnsi="Titillium Web"/>
        </w:rPr>
        <w:t xml:space="preserve">Het bestuur van de entiteit is verantwoordelijk voor het opstellen van de eindrapportage in overeenstemming met de eisen en aanwijzingen van het Agis Innovatiefonds. In dit kader is het bestuur verantwoordelijk voor een zodanige interne beheersing die het bestuur noodzakelijk acht om het opstellen van de eindrapportage (met bijlagen) mogelijk te maken zonder afwijkingen van materieel belang als gevolg van fraude of fouten. </w:t>
      </w:r>
    </w:p>
    <w:p w14:paraId="7D89636B" w14:textId="77777777" w:rsidR="00761449" w:rsidRPr="00826045" w:rsidRDefault="00761449" w:rsidP="00826045">
      <w:pPr>
        <w:rPr>
          <w:rFonts w:ascii="Titillium Web" w:hAnsi="Titillium Web"/>
          <w:b/>
          <w:bCs/>
        </w:rPr>
      </w:pPr>
    </w:p>
    <w:p w14:paraId="1AB7E939" w14:textId="77777777" w:rsidR="00826045" w:rsidRDefault="00826045" w:rsidP="00826045">
      <w:pPr>
        <w:rPr>
          <w:rFonts w:ascii="Titillium Web" w:hAnsi="Titillium Web"/>
          <w:b/>
          <w:bCs/>
        </w:rPr>
      </w:pPr>
      <w:r w:rsidRPr="00826045">
        <w:rPr>
          <w:rFonts w:ascii="Titillium Web" w:hAnsi="Titillium Web"/>
          <w:b/>
          <w:bCs/>
        </w:rPr>
        <w:t xml:space="preserve">Onze verantwoordelijkheden voor de controle  </w:t>
      </w:r>
    </w:p>
    <w:p w14:paraId="1C7AF22C" w14:textId="77777777" w:rsidR="00761449" w:rsidRPr="00826045" w:rsidRDefault="00761449" w:rsidP="00826045">
      <w:pPr>
        <w:rPr>
          <w:rFonts w:ascii="Titillium Web" w:hAnsi="Titillium Web"/>
          <w:b/>
          <w:bCs/>
        </w:rPr>
      </w:pPr>
    </w:p>
    <w:p w14:paraId="33A939E2" w14:textId="77777777" w:rsidR="00826045" w:rsidRDefault="00826045" w:rsidP="00826045">
      <w:pPr>
        <w:rPr>
          <w:rFonts w:ascii="Titillium Web" w:hAnsi="Titillium Web"/>
        </w:rPr>
      </w:pPr>
      <w:r w:rsidRPr="00826045">
        <w:rPr>
          <w:rFonts w:ascii="Titillium Web" w:hAnsi="Titillium Web"/>
        </w:rPr>
        <w:t>Onze verantwoordelijkheid is het zodanig plannen en uitvoeren van een controleopdracht dat wij daarmee voldoende en geschikte controle-informatie verkrijgen voor het door ons af te geven oordeel.</w:t>
      </w:r>
    </w:p>
    <w:p w14:paraId="7E1E59E8" w14:textId="77777777" w:rsidR="00761449" w:rsidRPr="00826045" w:rsidRDefault="00761449" w:rsidP="00826045">
      <w:pPr>
        <w:rPr>
          <w:rFonts w:ascii="Titillium Web" w:hAnsi="Titillium Web"/>
        </w:rPr>
      </w:pPr>
    </w:p>
    <w:p w14:paraId="6D6C0C12" w14:textId="77777777" w:rsidR="00826045" w:rsidRPr="00826045" w:rsidRDefault="00826045" w:rsidP="00826045">
      <w:pPr>
        <w:rPr>
          <w:rFonts w:ascii="Titillium Web" w:hAnsi="Titillium Web"/>
        </w:rPr>
      </w:pPr>
      <w:r w:rsidRPr="00826045">
        <w:rPr>
          <w:rFonts w:ascii="Titillium Web" w:hAnsi="Titillium Web"/>
        </w:rPr>
        <w:t>Onze controle is uitgevoerd met een hoge mate maar geen absolute mate van zekerheid waardoor het mogelijk is dat wij tijdens onze controle niet alle materiële fouten en fraude ontdekken.</w:t>
      </w:r>
    </w:p>
    <w:p w14:paraId="6517F2DE" w14:textId="77777777" w:rsidR="00826045" w:rsidRPr="00826045" w:rsidRDefault="00826045" w:rsidP="00826045">
      <w:pPr>
        <w:rPr>
          <w:rFonts w:ascii="Titillium Web" w:hAnsi="Titillium Web"/>
        </w:rPr>
      </w:pPr>
    </w:p>
    <w:p w14:paraId="62CD10E1" w14:textId="77777777" w:rsidR="00826045" w:rsidRDefault="00826045" w:rsidP="00826045">
      <w:pPr>
        <w:rPr>
          <w:rFonts w:ascii="Titillium Web" w:hAnsi="Titillium Web"/>
        </w:rPr>
      </w:pPr>
      <w:r w:rsidRPr="00826045">
        <w:rPr>
          <w:rFonts w:ascii="Titillium Web" w:hAnsi="Titillium Web"/>
        </w:rPr>
        <w:t>Afwijkingen kunnen ontstaan als gevolg van fraude of fouten en zijn materieel indien redelijkerwijs kan worden verwacht dat deze, afzonderlijk of gezamenlijk, van invloed kunnen zijn op de economische beslissingen die gebruikers op basis van de eindrapportage nemen. De materialiteit beïnvloedt de aard, timing en omvang van onze controlewerkzaamheden en de evaluatie van het effect van onderkende afwijkingen op ons oordeel.</w:t>
      </w:r>
    </w:p>
    <w:p w14:paraId="700D6698" w14:textId="77777777" w:rsidR="00761449" w:rsidRPr="00826045" w:rsidRDefault="00761449" w:rsidP="00826045">
      <w:pPr>
        <w:rPr>
          <w:rFonts w:ascii="Titillium Web" w:hAnsi="Titillium Web"/>
        </w:rPr>
      </w:pPr>
    </w:p>
    <w:p w14:paraId="4D25D3C6" w14:textId="77777777" w:rsidR="00826045" w:rsidRPr="00826045" w:rsidRDefault="00826045" w:rsidP="00826045">
      <w:pPr>
        <w:rPr>
          <w:rFonts w:ascii="Titillium Web" w:hAnsi="Titillium Web"/>
        </w:rPr>
      </w:pPr>
      <w:r w:rsidRPr="00826045">
        <w:rPr>
          <w:rFonts w:ascii="Titillium Web" w:hAnsi="Titillium Web"/>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3F3A24D4" w14:textId="77777777" w:rsidR="00826045" w:rsidRDefault="00826045" w:rsidP="00826045">
      <w:pPr>
        <w:numPr>
          <w:ilvl w:val="0"/>
          <w:numId w:val="9"/>
        </w:numPr>
        <w:rPr>
          <w:rFonts w:ascii="Titillium Web" w:hAnsi="Titillium Web"/>
        </w:rPr>
      </w:pPr>
      <w:proofErr w:type="gramStart"/>
      <w:r w:rsidRPr="00826045">
        <w:rPr>
          <w:rFonts w:ascii="Titillium Web" w:hAnsi="Titillium Web"/>
        </w:rPr>
        <w:t>het</w:t>
      </w:r>
      <w:proofErr w:type="gramEnd"/>
      <w:r w:rsidRPr="00826045">
        <w:rPr>
          <w:rFonts w:ascii="Titillium Web" w:hAnsi="Titillium Web"/>
        </w:rPr>
        <w:t xml:space="preserve"> identificeren en inschatten van de risico's dat de eindrapportage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4A3A0F3" w14:textId="77777777" w:rsidR="0069553E" w:rsidRDefault="0069553E" w:rsidP="0069553E">
      <w:pPr>
        <w:rPr>
          <w:rFonts w:ascii="Titillium Web" w:hAnsi="Titillium Web"/>
        </w:rPr>
      </w:pPr>
    </w:p>
    <w:p w14:paraId="04624C25" w14:textId="77777777" w:rsidR="0069553E" w:rsidRPr="00826045" w:rsidRDefault="0069553E" w:rsidP="0069553E">
      <w:pPr>
        <w:rPr>
          <w:rFonts w:ascii="Titillium Web" w:hAnsi="Titillium Web"/>
        </w:rPr>
      </w:pPr>
    </w:p>
    <w:p w14:paraId="4A0FCDF4" w14:textId="77777777" w:rsidR="00826045" w:rsidRPr="00826045" w:rsidRDefault="00826045" w:rsidP="00826045">
      <w:pPr>
        <w:numPr>
          <w:ilvl w:val="0"/>
          <w:numId w:val="9"/>
        </w:numPr>
        <w:rPr>
          <w:rFonts w:ascii="Titillium Web" w:hAnsi="Titillium Web"/>
        </w:rPr>
      </w:pPr>
      <w:proofErr w:type="gramStart"/>
      <w:r w:rsidRPr="00826045">
        <w:rPr>
          <w:rFonts w:ascii="Titillium Web" w:hAnsi="Titillium Web"/>
        </w:rPr>
        <w:lastRenderedPageBreak/>
        <w:t>het</w:t>
      </w:r>
      <w:proofErr w:type="gramEnd"/>
      <w:r w:rsidRPr="00826045">
        <w:rPr>
          <w:rFonts w:ascii="Titillium Web" w:hAnsi="Titillium Web"/>
        </w:rPr>
        <w:t xml:space="preserve">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5B5CF16A" w14:textId="77777777" w:rsidR="00826045" w:rsidRPr="00826045" w:rsidRDefault="00826045" w:rsidP="00826045">
      <w:pPr>
        <w:numPr>
          <w:ilvl w:val="0"/>
          <w:numId w:val="9"/>
        </w:numPr>
        <w:rPr>
          <w:rFonts w:ascii="Titillium Web" w:hAnsi="Titillium Web"/>
        </w:rPr>
      </w:pPr>
      <w:proofErr w:type="gramStart"/>
      <w:r w:rsidRPr="00826045">
        <w:rPr>
          <w:rFonts w:ascii="Titillium Web" w:hAnsi="Titillium Web"/>
        </w:rPr>
        <w:t>het</w:t>
      </w:r>
      <w:proofErr w:type="gramEnd"/>
      <w:r w:rsidRPr="00826045">
        <w:rPr>
          <w:rFonts w:ascii="Titillium Web" w:hAnsi="Titillium Web"/>
        </w:rPr>
        <w:t xml:space="preserve"> evalueren van de geschiktheid van de gebruikte grondslagen voor financiële verslaggeving en het evalueren van de redelijkheid van schattingen door het bestuur en de toelichtingen die daarover in de eindrapportage staan;</w:t>
      </w:r>
    </w:p>
    <w:p w14:paraId="17A65F4E" w14:textId="77777777" w:rsidR="00826045" w:rsidRPr="00826045" w:rsidRDefault="00826045" w:rsidP="00826045">
      <w:pPr>
        <w:numPr>
          <w:ilvl w:val="0"/>
          <w:numId w:val="9"/>
        </w:numPr>
        <w:rPr>
          <w:rFonts w:ascii="Titillium Web" w:hAnsi="Titillium Web"/>
        </w:rPr>
      </w:pPr>
      <w:proofErr w:type="gramStart"/>
      <w:r w:rsidRPr="00826045">
        <w:rPr>
          <w:rFonts w:ascii="Titillium Web" w:hAnsi="Titillium Web"/>
        </w:rPr>
        <w:t>het</w:t>
      </w:r>
      <w:proofErr w:type="gramEnd"/>
      <w:r w:rsidRPr="00826045">
        <w:rPr>
          <w:rFonts w:ascii="Titillium Web" w:hAnsi="Titillium Web"/>
        </w:rPr>
        <w:t xml:space="preserve"> evalueren van de presentatie, structuur en inhoud van de eindrapportage en de daarin opgenomen toelichtingen; en</w:t>
      </w:r>
    </w:p>
    <w:p w14:paraId="64A2E71C" w14:textId="77777777" w:rsidR="00826045" w:rsidRDefault="00826045" w:rsidP="00826045">
      <w:pPr>
        <w:numPr>
          <w:ilvl w:val="0"/>
          <w:numId w:val="9"/>
        </w:numPr>
        <w:rPr>
          <w:rFonts w:ascii="Titillium Web" w:hAnsi="Titillium Web"/>
        </w:rPr>
      </w:pPr>
      <w:proofErr w:type="gramStart"/>
      <w:r w:rsidRPr="00826045">
        <w:rPr>
          <w:rFonts w:ascii="Titillium Web" w:hAnsi="Titillium Web"/>
        </w:rPr>
        <w:t>het</w:t>
      </w:r>
      <w:proofErr w:type="gramEnd"/>
      <w:r w:rsidRPr="00826045">
        <w:rPr>
          <w:rFonts w:ascii="Titillium Web" w:hAnsi="Titillium Web"/>
        </w:rPr>
        <w:t xml:space="preserve"> evalueren of de eindrapportage de onderliggende transacties en gebeurtenissen zonder materiële afwijkingen weergeeft.</w:t>
      </w:r>
    </w:p>
    <w:p w14:paraId="58890AB7" w14:textId="77777777" w:rsidR="00761449" w:rsidRPr="00826045" w:rsidRDefault="00761449" w:rsidP="00761449">
      <w:pPr>
        <w:rPr>
          <w:rFonts w:ascii="Titillium Web" w:hAnsi="Titillium Web"/>
        </w:rPr>
      </w:pPr>
    </w:p>
    <w:p w14:paraId="1C6CFDC0" w14:textId="77777777" w:rsidR="00826045" w:rsidRPr="00826045" w:rsidRDefault="00826045" w:rsidP="00826045">
      <w:pPr>
        <w:rPr>
          <w:rFonts w:ascii="Titillium Web" w:hAnsi="Titillium Web"/>
        </w:rPr>
      </w:pPr>
      <w:r w:rsidRPr="00826045">
        <w:rPr>
          <w:rFonts w:ascii="Titillium Web" w:hAnsi="Titillium Web"/>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p>
    <w:p w14:paraId="1C4F7E7A" w14:textId="77777777" w:rsidR="00826045" w:rsidRDefault="00826045" w:rsidP="00826045">
      <w:pPr>
        <w:rPr>
          <w:rFonts w:ascii="Titillium Web" w:hAnsi="Titillium Web"/>
        </w:rPr>
      </w:pPr>
    </w:p>
    <w:p w14:paraId="30B3CBFD" w14:textId="77777777" w:rsidR="00826045" w:rsidRDefault="00826045" w:rsidP="00826045">
      <w:pPr>
        <w:rPr>
          <w:rFonts w:ascii="Titillium Web" w:hAnsi="Titillium Web"/>
        </w:rPr>
      </w:pPr>
    </w:p>
    <w:p w14:paraId="7CA56F31" w14:textId="77777777" w:rsidR="0069553E" w:rsidRDefault="0069553E" w:rsidP="00826045">
      <w:pPr>
        <w:rPr>
          <w:rFonts w:ascii="Titillium Web" w:hAnsi="Titillium Web"/>
        </w:rPr>
      </w:pPr>
    </w:p>
    <w:p w14:paraId="71A7932C" w14:textId="77777777" w:rsidR="00826045" w:rsidRDefault="00826045" w:rsidP="00826045">
      <w:pPr>
        <w:rPr>
          <w:rFonts w:ascii="Titillium Web" w:hAnsi="Titillium Web"/>
        </w:rPr>
      </w:pPr>
    </w:p>
    <w:p w14:paraId="44C6003C" w14:textId="77777777" w:rsidR="00826045" w:rsidRPr="00826045" w:rsidRDefault="00826045" w:rsidP="00826045">
      <w:pPr>
        <w:rPr>
          <w:rFonts w:ascii="Titillium Web" w:hAnsi="Titillium Web"/>
        </w:rPr>
      </w:pPr>
      <w:r w:rsidRPr="00826045">
        <w:rPr>
          <w:rFonts w:ascii="Titillium Web" w:hAnsi="Titillium Web"/>
        </w:rPr>
        <w:t xml:space="preserve">Plaats, datum </w:t>
      </w:r>
    </w:p>
    <w:p w14:paraId="7B03E45F" w14:textId="77777777" w:rsidR="00826045" w:rsidRPr="00826045" w:rsidRDefault="00826045" w:rsidP="00826045">
      <w:pPr>
        <w:rPr>
          <w:rFonts w:ascii="Titillium Web" w:hAnsi="Titillium Web"/>
        </w:rPr>
      </w:pPr>
      <w:r w:rsidRPr="00826045">
        <w:rPr>
          <w:rFonts w:ascii="Titillium Web" w:hAnsi="Titillium Web"/>
        </w:rPr>
        <w:t>Naam accountantspraktijk</w:t>
      </w:r>
    </w:p>
    <w:p w14:paraId="5F5D03E6" w14:textId="77777777" w:rsidR="00826045" w:rsidRPr="00826045" w:rsidRDefault="00826045" w:rsidP="00826045">
      <w:pPr>
        <w:rPr>
          <w:rFonts w:ascii="Titillium Web" w:hAnsi="Titillium Web"/>
        </w:rPr>
      </w:pPr>
      <w:r w:rsidRPr="00826045">
        <w:rPr>
          <w:rFonts w:ascii="Titillium Web" w:hAnsi="Titillium Web"/>
        </w:rPr>
        <w:t>Naam accountant</w:t>
      </w:r>
    </w:p>
    <w:p w14:paraId="0E6B8445" w14:textId="77777777" w:rsidR="00826045" w:rsidRPr="00826045" w:rsidRDefault="00826045" w:rsidP="00826045">
      <w:pPr>
        <w:rPr>
          <w:rFonts w:ascii="Titillium Web" w:hAnsi="Titillium Web"/>
        </w:rPr>
      </w:pPr>
      <w:r w:rsidRPr="00826045">
        <w:rPr>
          <w:rFonts w:ascii="Titillium Web" w:hAnsi="Titillium Web"/>
        </w:rPr>
        <w:t xml:space="preserve">Vestigingsplaats accountantspraktijk </w:t>
      </w:r>
    </w:p>
    <w:p w14:paraId="4DBE0C41" w14:textId="77777777" w:rsidR="00F843CC" w:rsidRPr="00826045" w:rsidRDefault="00F843CC" w:rsidP="00F843CC">
      <w:pPr>
        <w:rPr>
          <w:rFonts w:ascii="Titillium Web" w:hAnsi="Titillium Web"/>
        </w:rPr>
      </w:pPr>
    </w:p>
    <w:p w14:paraId="0EE8F481" w14:textId="77777777" w:rsidR="00320066" w:rsidRPr="00826045" w:rsidRDefault="00320066" w:rsidP="0003146B">
      <w:pPr>
        <w:rPr>
          <w:rFonts w:ascii="Titillium Web" w:hAnsi="Titillium Web"/>
        </w:rPr>
      </w:pPr>
    </w:p>
    <w:sectPr w:rsidR="00320066" w:rsidRPr="00826045" w:rsidSect="003358ED">
      <w:headerReference w:type="default" r:id="rId7"/>
      <w:footerReference w:type="default" r:id="rId8"/>
      <w:headerReference w:type="first" r:id="rId9"/>
      <w:footerReference w:type="first" r:id="rId10"/>
      <w:pgSz w:w="11906" w:h="16838" w:code="9"/>
      <w:pgMar w:top="2722" w:right="2722" w:bottom="1814" w:left="141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0515F" w14:textId="77777777" w:rsidR="0017420E" w:rsidRDefault="0017420E" w:rsidP="00F90C43">
      <w:r>
        <w:separator/>
      </w:r>
    </w:p>
  </w:endnote>
  <w:endnote w:type="continuationSeparator" w:id="0">
    <w:p w14:paraId="4A886E1B" w14:textId="77777777" w:rsidR="0017420E" w:rsidRDefault="0017420E" w:rsidP="00F9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tillium Web">
    <w:panose1 w:val="00000500000000000000"/>
    <w:charset w:val="4D"/>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3138" w14:textId="77777777" w:rsidR="00FD1F06" w:rsidRPr="00FD1F06" w:rsidRDefault="00FD1F06" w:rsidP="00FD1F06">
    <w:pPr>
      <w:pStyle w:val="Footer"/>
      <w:rPr>
        <w:b/>
        <w:lang w:val="en-US"/>
      </w:rPr>
    </w:pPr>
    <w:r>
      <w:rPr>
        <w:b/>
      </w:rPr>
      <mc:AlternateContent>
        <mc:Choice Requires="wps">
          <w:drawing>
            <wp:anchor distT="0" distB="0" distL="114300" distR="114300" simplePos="0" relativeHeight="251668480" behindDoc="0" locked="1" layoutInCell="1" allowOverlap="1" wp14:anchorId="159309E1" wp14:editId="44EEB89B">
              <wp:simplePos x="0" y="0"/>
              <wp:positionH relativeFrom="column">
                <wp:posOffset>-399415</wp:posOffset>
              </wp:positionH>
              <wp:positionV relativeFrom="paragraph">
                <wp:posOffset>39370</wp:posOffset>
              </wp:positionV>
              <wp:extent cx="147600" cy="360000"/>
              <wp:effectExtent l="0" t="0" r="24130" b="21590"/>
              <wp:wrapNone/>
              <wp:docPr id="11" name="Rechte verbindingslijn 11"/>
              <wp:cNvGraphicFramePr/>
              <a:graphic xmlns:a="http://schemas.openxmlformats.org/drawingml/2006/main">
                <a:graphicData uri="http://schemas.microsoft.com/office/word/2010/wordprocessingShape">
                  <wps:wsp>
                    <wps:cNvCnPr/>
                    <wps:spPr>
                      <a:xfrm flipH="1">
                        <a:off x="0" y="0"/>
                        <a:ext cx="147600" cy="36000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91D16" id="Rechte verbindingslijn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3.1pt" to="-19.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" strokecolor="#60c4e0 [3205]" strokeweight=".5pt">
              <v:stroke joinstyle="miter"/>
              <w10:anchorlock/>
            </v:line>
          </w:pict>
        </mc:Fallback>
      </mc:AlternateContent>
    </w:r>
    <w:r w:rsidRPr="00FD1F06">
      <w:rPr>
        <w:b/>
        <w:lang w:val="en-US"/>
      </w:rPr>
      <w:t xml:space="preserve">       Agis Innovatiefonds</w:t>
    </w:r>
  </w:p>
  <w:p w14:paraId="1E16FB73" w14:textId="77777777" w:rsidR="00FD1F06" w:rsidRPr="00FD1F06" w:rsidRDefault="00FD1F06" w:rsidP="00FD1F06">
    <w:pPr>
      <w:pStyle w:val="Footer"/>
      <w:rPr>
        <w:lang w:val="en-US"/>
      </w:rPr>
    </w:pPr>
    <w:r w:rsidRPr="00FD1F06">
      <w:rPr>
        <w:lang w:val="en-US"/>
      </w:rPr>
      <w:t xml:space="preserve">     Postbus 339</w:t>
    </w:r>
    <w:r w:rsidRPr="00FD1F06">
      <w:rPr>
        <w:spacing w:val="16"/>
        <w:position w:val="-4"/>
        <w:lang w:val="en-US"/>
      </w:rPr>
      <w:t xml:space="preserve"> </w:t>
    </w:r>
    <w:r w:rsidRPr="0019251A">
      <w:rPr>
        <w:position w:val="-4"/>
      </w:rPr>
      <mc:AlternateContent>
        <mc:Choice Requires="wps">
          <w:drawing>
            <wp:inline distT="0" distB="0" distL="0" distR="0" wp14:anchorId="152CF12C" wp14:editId="782CD6CF">
              <wp:extent cx="32400" cy="79200"/>
              <wp:effectExtent l="0" t="0" r="24765" b="16510"/>
              <wp:docPr id="12" name="Footerlijntje1"/>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D1854F" id="Footerlijntje1"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" strokecolor="#60c4e0 [3205]" strokeweight=".5pt">
              <v:stroke joinstyle="miter"/>
              <w10:anchorlock/>
            </v:line>
          </w:pict>
        </mc:Fallback>
      </mc:AlternateContent>
    </w:r>
    <w:r w:rsidRPr="00FD1F06">
      <w:rPr>
        <w:spacing w:val="-8"/>
        <w:position w:val="-4"/>
        <w:lang w:val="en-US"/>
      </w:rPr>
      <w:t xml:space="preserve"> </w:t>
    </w:r>
    <w:r w:rsidRPr="00FD1F06">
      <w:rPr>
        <w:lang w:val="en-US"/>
      </w:rPr>
      <w:t>3800 AH  Amersfoort</w:t>
    </w:r>
    <w:r w:rsidRPr="00FD1F06">
      <w:rPr>
        <w:spacing w:val="14"/>
        <w:position w:val="-4"/>
        <w:lang w:val="en-US"/>
      </w:rPr>
      <w:t xml:space="preserve"> </w:t>
    </w:r>
    <w:r w:rsidRPr="0019251A">
      <w:rPr>
        <w:position w:val="-4"/>
      </w:rPr>
      <mc:AlternateContent>
        <mc:Choice Requires="wps">
          <w:drawing>
            <wp:inline distT="0" distB="0" distL="0" distR="0" wp14:anchorId="6B39BB62" wp14:editId="20D685EE">
              <wp:extent cx="32400" cy="79200"/>
              <wp:effectExtent l="0" t="0" r="24765" b="16510"/>
              <wp:docPr id="13" name="Footerlijntje2"/>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67B0CA" id="Footerlijntje2"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" strokecolor="#60c4e0 [3205]" strokeweight=".5pt">
              <v:stroke joinstyle="miter"/>
              <w10:anchorlock/>
            </v:line>
          </w:pict>
        </mc:Fallback>
      </mc:AlternateContent>
    </w:r>
    <w:r w:rsidRPr="00FD1F06">
      <w:rPr>
        <w:spacing w:val="-22"/>
        <w:position w:val="-4"/>
        <w:lang w:val="en-US"/>
      </w:rPr>
      <w:t xml:space="preserve"> </w:t>
    </w:r>
    <w:r w:rsidRPr="00FD1F06">
      <w:rPr>
        <w:lang w:val="en-US"/>
      </w:rPr>
      <w:t>info@agisinnovatiefonds.nl</w:t>
    </w:r>
    <w:r w:rsidRPr="00FD1F06">
      <w:rPr>
        <w:spacing w:val="14"/>
        <w:position w:val="-4"/>
        <w:lang w:val="en-US"/>
      </w:rPr>
      <w:t xml:space="preserve"> </w:t>
    </w:r>
    <w:r w:rsidRPr="0019251A">
      <w:rPr>
        <w:position w:val="-4"/>
      </w:rPr>
      <mc:AlternateContent>
        <mc:Choice Requires="wps">
          <w:drawing>
            <wp:inline distT="0" distB="0" distL="0" distR="0" wp14:anchorId="60DCC184" wp14:editId="0FF8DECA">
              <wp:extent cx="32400" cy="79200"/>
              <wp:effectExtent l="0" t="0" r="24765" b="16510"/>
              <wp:docPr id="14" name="Footerlijntje3"/>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5E3521" id="Footerlijntje3"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" strokecolor="#60c4e0 [3205]" strokeweight=".5pt">
              <v:stroke joinstyle="miter"/>
              <w10:anchorlock/>
            </v:line>
          </w:pict>
        </mc:Fallback>
      </mc:AlternateContent>
    </w:r>
    <w:r w:rsidRPr="00FD1F06">
      <w:rPr>
        <w:spacing w:val="-8"/>
        <w:position w:val="-4"/>
        <w:lang w:val="en-US"/>
      </w:rPr>
      <w:t xml:space="preserve"> </w:t>
    </w:r>
    <w:r w:rsidRPr="00FD1F06">
      <w:rPr>
        <w:lang w:val="en-US"/>
      </w:rPr>
      <w:t>www.agisinnovatiefonds.nl</w:t>
    </w:r>
  </w:p>
  <w:p w14:paraId="72B936E7" w14:textId="4B53A656" w:rsidR="00FD1F06" w:rsidRDefault="00FD1F06" w:rsidP="00FD1F06">
    <w:pPr>
      <w:pStyle w:val="Footer"/>
    </w:pPr>
    <w:r w:rsidRPr="00A62E4A">
      <w:rPr>
        <w:lang w:val="en-US"/>
      </w:rPr>
      <w:t xml:space="preserve">   </w:t>
    </w:r>
    <w:r w:rsidRPr="0019251A">
      <w:t>KvK nummer: 41186649</w:t>
    </w:r>
    <w:r w:rsidRPr="0019251A">
      <w:rPr>
        <w:spacing w:val="12"/>
        <w:position w:val="-4"/>
      </w:rPr>
      <w:t xml:space="preserve"> </w:t>
    </w:r>
    <w:r w:rsidRPr="0019251A">
      <w:rPr>
        <w:position w:val="-4"/>
      </w:rPr>
      <mc:AlternateContent>
        <mc:Choice Requires="wps">
          <w:drawing>
            <wp:inline distT="0" distB="0" distL="0" distR="0" wp14:anchorId="5987AC32" wp14:editId="44E5D893">
              <wp:extent cx="32400" cy="79200"/>
              <wp:effectExtent l="0" t="0" r="24765" b="16510"/>
              <wp:docPr id="15" name="Footerlijntje4"/>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8AC095" id="Footerlijntje4"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" strokecolor="#60c4e0 [3205]" strokeweight=".5pt">
              <v:stroke joinstyle="miter"/>
              <w10:anchorlock/>
            </v:line>
          </w:pict>
        </mc:Fallback>
      </mc:AlternateContent>
    </w:r>
    <w:r w:rsidRPr="0019251A">
      <w:rPr>
        <w:spacing w:val="-12"/>
        <w:position w:val="-4"/>
      </w:rPr>
      <w:t xml:space="preserve"> </w:t>
    </w:r>
    <w:r w:rsidRPr="0019251A">
      <w:t>Fiscaal RSIN nummer: 802559050</w:t>
    </w:r>
    <w:r w:rsidR="00320066">
      <w:tab/>
    </w:r>
    <w:r w:rsidR="00320066" w:rsidRPr="00320066">
      <w:fldChar w:fldCharType="begin"/>
    </w:r>
    <w:r w:rsidR="00320066" w:rsidRPr="00320066">
      <w:instrText xml:space="preserve"> IF </w:instrText>
    </w:r>
    <w:r w:rsidR="00320066" w:rsidRPr="00320066">
      <w:fldChar w:fldCharType="begin"/>
    </w:r>
    <w:r w:rsidR="00320066" w:rsidRPr="00320066">
      <w:instrText xml:space="preserve"> NUMPAGES </w:instrText>
    </w:r>
    <w:r w:rsidR="00320066" w:rsidRPr="00320066">
      <w:fldChar w:fldCharType="separate"/>
    </w:r>
    <w:r w:rsidR="00227DBF">
      <w:instrText>11</w:instrText>
    </w:r>
    <w:r w:rsidR="00320066" w:rsidRPr="00320066">
      <w:fldChar w:fldCharType="end"/>
    </w:r>
    <w:r w:rsidR="00320066" w:rsidRPr="00320066">
      <w:instrText xml:space="preserve"> &gt; 1 "</w:instrText>
    </w:r>
    <w:r w:rsidR="00320066" w:rsidRPr="00320066">
      <w:fldChar w:fldCharType="begin"/>
    </w:r>
    <w:r w:rsidR="00320066" w:rsidRPr="00320066">
      <w:instrText xml:space="preserve"> PAGE </w:instrText>
    </w:r>
    <w:r w:rsidR="00320066" w:rsidRPr="00320066">
      <w:fldChar w:fldCharType="separate"/>
    </w:r>
    <w:r w:rsidR="00227DBF">
      <w:instrText>4</w:instrText>
    </w:r>
    <w:r w:rsidR="00320066" w:rsidRPr="00320066">
      <w:fldChar w:fldCharType="end"/>
    </w:r>
    <w:r w:rsidR="00320066" w:rsidRPr="00320066">
      <w:instrText>/</w:instrText>
    </w:r>
    <w:r w:rsidR="00320066" w:rsidRPr="00320066">
      <w:fldChar w:fldCharType="begin"/>
    </w:r>
    <w:r w:rsidR="00320066" w:rsidRPr="00320066">
      <w:instrText xml:space="preserve"> NUMPAGES </w:instrText>
    </w:r>
    <w:r w:rsidR="00320066" w:rsidRPr="00320066">
      <w:fldChar w:fldCharType="separate"/>
    </w:r>
    <w:r w:rsidR="00227DBF">
      <w:instrText>11</w:instrText>
    </w:r>
    <w:r w:rsidR="00320066" w:rsidRPr="00320066">
      <w:fldChar w:fldCharType="end"/>
    </w:r>
    <w:r w:rsidR="00320066" w:rsidRPr="00320066">
      <w:instrText xml:space="preserve">" "" </w:instrText>
    </w:r>
    <w:r w:rsidR="00320066" w:rsidRPr="00320066">
      <w:fldChar w:fldCharType="separate"/>
    </w:r>
    <w:r w:rsidR="00227DBF">
      <w:t>4</w:t>
    </w:r>
    <w:r w:rsidR="00227DBF" w:rsidRPr="00320066">
      <w:t>/</w:t>
    </w:r>
    <w:r w:rsidR="00227DBF">
      <w:t>11</w:t>
    </w:r>
    <w:r w:rsidR="00320066" w:rsidRPr="0032006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D5B0E" w14:textId="77777777" w:rsidR="003358ED" w:rsidRPr="00320066" w:rsidRDefault="008D434B" w:rsidP="001E11DD">
    <w:pPr>
      <w:pStyle w:val="Footer"/>
      <w:rPr>
        <w:b/>
        <w:lang w:val="en-US"/>
      </w:rPr>
    </w:pPr>
    <w:r>
      <w:rPr>
        <w:b/>
      </w:rPr>
      <mc:AlternateContent>
        <mc:Choice Requires="wps">
          <w:drawing>
            <wp:anchor distT="0" distB="0" distL="114300" distR="114300" simplePos="0" relativeHeight="251664384" behindDoc="0" locked="1" layoutInCell="1" allowOverlap="1" wp14:anchorId="07DDE73A" wp14:editId="66FC55C3">
              <wp:simplePos x="0" y="0"/>
              <wp:positionH relativeFrom="column">
                <wp:posOffset>-399415</wp:posOffset>
              </wp:positionH>
              <wp:positionV relativeFrom="paragraph">
                <wp:posOffset>39370</wp:posOffset>
              </wp:positionV>
              <wp:extent cx="147600" cy="360000"/>
              <wp:effectExtent l="0" t="0" r="24130" b="21590"/>
              <wp:wrapNone/>
              <wp:docPr id="9" name="Rechte verbindingslijn 9"/>
              <wp:cNvGraphicFramePr/>
              <a:graphic xmlns:a="http://schemas.openxmlformats.org/drawingml/2006/main">
                <a:graphicData uri="http://schemas.microsoft.com/office/word/2010/wordprocessingShape">
                  <wps:wsp>
                    <wps:cNvCnPr/>
                    <wps:spPr>
                      <a:xfrm flipH="1">
                        <a:off x="0" y="0"/>
                        <a:ext cx="147600" cy="36000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C02A3" id="Rechte verbindingslijn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3.1pt" to="-19.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" strokecolor="#60c4e0 [3205]" strokeweight=".5pt">
              <v:stroke joinstyle="miter"/>
              <w10:anchorlock/>
            </v:line>
          </w:pict>
        </mc:Fallback>
      </mc:AlternateContent>
    </w:r>
    <w:r w:rsidR="003358ED" w:rsidRPr="00320066">
      <w:rPr>
        <w:b/>
        <w:lang w:val="en-US"/>
      </w:rPr>
      <w:t xml:space="preserve">       Agis Innovatiefonds</w:t>
    </w:r>
  </w:p>
  <w:p w14:paraId="24DAFFAE" w14:textId="77777777" w:rsidR="003358ED" w:rsidRPr="00320066" w:rsidRDefault="003358ED" w:rsidP="001E11DD">
    <w:pPr>
      <w:pStyle w:val="Footer"/>
      <w:rPr>
        <w:lang w:val="en-US"/>
      </w:rPr>
    </w:pPr>
    <w:r w:rsidRPr="00320066">
      <w:rPr>
        <w:lang w:val="en-US"/>
      </w:rPr>
      <w:t xml:space="preserve">     Postbus 339</w:t>
    </w:r>
    <w:r w:rsidRPr="00320066">
      <w:rPr>
        <w:spacing w:val="16"/>
        <w:position w:val="-4"/>
        <w:lang w:val="en-US"/>
      </w:rPr>
      <w:t xml:space="preserve"> </w:t>
    </w:r>
    <w:r w:rsidRPr="0019251A">
      <w:rPr>
        <w:position w:val="-4"/>
      </w:rPr>
      <mc:AlternateContent>
        <mc:Choice Requires="wps">
          <w:drawing>
            <wp:inline distT="0" distB="0" distL="0" distR="0" wp14:anchorId="797314CB" wp14:editId="4EF1B2B8">
              <wp:extent cx="32400" cy="79200"/>
              <wp:effectExtent l="0" t="0" r="24765" b="16510"/>
              <wp:docPr id="3" name="Footerlijntje1"/>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44EB01" id="Footerlijntje1"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" strokecolor="#60c4e0 [3205]" strokeweight=".5pt">
              <v:stroke joinstyle="miter"/>
              <w10:anchorlock/>
            </v:line>
          </w:pict>
        </mc:Fallback>
      </mc:AlternateContent>
    </w:r>
    <w:r w:rsidR="0019251A" w:rsidRPr="00320066">
      <w:rPr>
        <w:spacing w:val="-8"/>
        <w:position w:val="-4"/>
        <w:lang w:val="en-US"/>
      </w:rPr>
      <w:t xml:space="preserve"> </w:t>
    </w:r>
    <w:r w:rsidRPr="00320066">
      <w:rPr>
        <w:lang w:val="en-US"/>
      </w:rPr>
      <w:t>3800 AH  Amersfoort</w:t>
    </w:r>
    <w:r w:rsidR="0019251A" w:rsidRPr="00320066">
      <w:rPr>
        <w:spacing w:val="14"/>
        <w:position w:val="-4"/>
        <w:lang w:val="en-US"/>
      </w:rPr>
      <w:t xml:space="preserve"> </w:t>
    </w:r>
    <w:r w:rsidR="0019251A" w:rsidRPr="0019251A">
      <w:rPr>
        <w:position w:val="-4"/>
      </w:rPr>
      <mc:AlternateContent>
        <mc:Choice Requires="wps">
          <w:drawing>
            <wp:inline distT="0" distB="0" distL="0" distR="0" wp14:anchorId="29622A2A" wp14:editId="35F8679F">
              <wp:extent cx="32400" cy="79200"/>
              <wp:effectExtent l="0" t="0" r="24765" b="16510"/>
              <wp:docPr id="6" name="Footerlijntje2"/>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98A623" id="Footerlijntje2"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" strokecolor="#60c4e0 [3205]" strokeweight=".5pt">
              <v:stroke joinstyle="miter"/>
              <w10:anchorlock/>
            </v:line>
          </w:pict>
        </mc:Fallback>
      </mc:AlternateContent>
    </w:r>
    <w:r w:rsidR="0019251A" w:rsidRPr="00320066">
      <w:rPr>
        <w:spacing w:val="-22"/>
        <w:position w:val="-4"/>
        <w:lang w:val="en-US"/>
      </w:rPr>
      <w:t xml:space="preserve"> </w:t>
    </w:r>
    <w:r w:rsidRPr="00320066">
      <w:rPr>
        <w:lang w:val="en-US"/>
      </w:rPr>
      <w:t>info@agisinnovatiefonds.nl</w:t>
    </w:r>
    <w:r w:rsidR="0019251A" w:rsidRPr="00320066">
      <w:rPr>
        <w:spacing w:val="14"/>
        <w:position w:val="-4"/>
        <w:lang w:val="en-US"/>
      </w:rPr>
      <w:t xml:space="preserve"> </w:t>
    </w:r>
    <w:r w:rsidR="0019251A" w:rsidRPr="0019251A">
      <w:rPr>
        <w:position w:val="-4"/>
      </w:rPr>
      <mc:AlternateContent>
        <mc:Choice Requires="wps">
          <w:drawing>
            <wp:inline distT="0" distB="0" distL="0" distR="0" wp14:anchorId="15AC1ADA" wp14:editId="068ED9BE">
              <wp:extent cx="32400" cy="79200"/>
              <wp:effectExtent l="0" t="0" r="24765" b="16510"/>
              <wp:docPr id="7" name="Footerlijntje3"/>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663454" id="Footerlijntje3"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" strokecolor="#60c4e0 [3205]" strokeweight=".5pt">
              <v:stroke joinstyle="miter"/>
              <w10:anchorlock/>
            </v:line>
          </w:pict>
        </mc:Fallback>
      </mc:AlternateContent>
    </w:r>
    <w:r w:rsidR="0019251A" w:rsidRPr="00320066">
      <w:rPr>
        <w:spacing w:val="-8"/>
        <w:position w:val="-4"/>
        <w:lang w:val="en-US"/>
      </w:rPr>
      <w:t xml:space="preserve"> </w:t>
    </w:r>
    <w:r w:rsidRPr="00320066">
      <w:rPr>
        <w:lang w:val="en-US"/>
      </w:rPr>
      <w:t>www.agisinnovatiefonds.nl</w:t>
    </w:r>
  </w:p>
  <w:p w14:paraId="008F76A7" w14:textId="6911FD9A" w:rsidR="003358ED" w:rsidRPr="008D434B" w:rsidRDefault="003358ED" w:rsidP="00320066">
    <w:pPr>
      <w:pStyle w:val="Footer"/>
      <w:rPr>
        <w:lang w:val="en-GB"/>
      </w:rPr>
    </w:pPr>
    <w:r w:rsidRPr="00320066">
      <w:rPr>
        <w:lang w:val="en-US"/>
      </w:rPr>
      <w:t xml:space="preserve">   </w:t>
    </w:r>
    <w:r w:rsidRPr="0019251A">
      <w:t>KvK nummer: 41186649</w:t>
    </w:r>
    <w:r w:rsidR="0019251A" w:rsidRPr="0019251A">
      <w:rPr>
        <w:spacing w:val="12"/>
        <w:position w:val="-4"/>
      </w:rPr>
      <w:t xml:space="preserve"> </w:t>
    </w:r>
    <w:r w:rsidR="0019251A" w:rsidRPr="0019251A">
      <w:rPr>
        <w:position w:val="-4"/>
      </w:rPr>
      <mc:AlternateContent>
        <mc:Choice Requires="wps">
          <w:drawing>
            <wp:inline distT="0" distB="0" distL="0" distR="0" wp14:anchorId="3143F882" wp14:editId="17A16CB2">
              <wp:extent cx="32400" cy="79200"/>
              <wp:effectExtent l="0" t="0" r="24765" b="16510"/>
              <wp:docPr id="8" name="Footerlijntje4"/>
              <wp:cNvGraphicFramePr/>
              <a:graphic xmlns:a="http://schemas.openxmlformats.org/drawingml/2006/main">
                <a:graphicData uri="http://schemas.microsoft.com/office/word/2010/wordprocessingShape">
                  <wps:wsp>
                    <wps:cNvCnPr/>
                    <wps:spPr>
                      <a:xfrm flipV="1">
                        <a:off x="0" y="0"/>
                        <a:ext cx="32400" cy="792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377192" id="Footerlijntje4" o:spid="_x0000_s1026" style="flip:y;visibility:visible;mso-wrap-style:square;mso-left-percent:-10001;mso-top-percent:-10001;mso-position-horizontal:absolute;mso-position-horizontal-relative:char;mso-position-vertical:absolute;mso-position-vertical-relative:line;mso-left-percent:-10001;mso-top-percent:-10001" from="0,0" to="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" strokecolor="#60c4e0 [3205]" strokeweight=".5pt">
              <v:stroke joinstyle="miter"/>
              <w10:anchorlock/>
            </v:line>
          </w:pict>
        </mc:Fallback>
      </mc:AlternateContent>
    </w:r>
    <w:r w:rsidR="0019251A" w:rsidRPr="0019251A">
      <w:rPr>
        <w:spacing w:val="-12"/>
        <w:position w:val="-4"/>
      </w:rPr>
      <w:t xml:space="preserve"> </w:t>
    </w:r>
    <w:r w:rsidRPr="0019251A">
      <w:t>Fiscaal RSIN nummer: 802559050</w:t>
    </w:r>
    <w:r w:rsidR="00320066">
      <w:tab/>
    </w:r>
    <w:r w:rsidR="00320066" w:rsidRPr="00320066">
      <w:fldChar w:fldCharType="begin"/>
    </w:r>
    <w:r w:rsidR="00320066" w:rsidRPr="00320066">
      <w:instrText xml:space="preserve"> IF </w:instrText>
    </w:r>
    <w:r w:rsidR="00320066" w:rsidRPr="00320066">
      <w:fldChar w:fldCharType="begin"/>
    </w:r>
    <w:r w:rsidR="00320066" w:rsidRPr="00320066">
      <w:instrText xml:space="preserve"> NUMPAGES </w:instrText>
    </w:r>
    <w:r w:rsidR="00320066" w:rsidRPr="00320066">
      <w:fldChar w:fldCharType="separate"/>
    </w:r>
    <w:r w:rsidR="00E343F5">
      <w:instrText>11</w:instrText>
    </w:r>
    <w:r w:rsidR="00320066" w:rsidRPr="00320066">
      <w:fldChar w:fldCharType="end"/>
    </w:r>
    <w:r w:rsidR="00320066" w:rsidRPr="00320066">
      <w:instrText xml:space="preserve"> &gt; 1 "</w:instrText>
    </w:r>
    <w:r w:rsidR="00320066" w:rsidRPr="00320066">
      <w:fldChar w:fldCharType="begin"/>
    </w:r>
    <w:r w:rsidR="00320066" w:rsidRPr="00320066">
      <w:instrText xml:space="preserve"> PAGE </w:instrText>
    </w:r>
    <w:r w:rsidR="00320066" w:rsidRPr="00320066">
      <w:fldChar w:fldCharType="separate"/>
    </w:r>
    <w:r w:rsidR="00E343F5">
      <w:instrText>1</w:instrText>
    </w:r>
    <w:r w:rsidR="00320066" w:rsidRPr="00320066">
      <w:fldChar w:fldCharType="end"/>
    </w:r>
    <w:r w:rsidR="00320066" w:rsidRPr="00320066">
      <w:instrText>/</w:instrText>
    </w:r>
    <w:r w:rsidR="00320066" w:rsidRPr="00320066">
      <w:fldChar w:fldCharType="begin"/>
    </w:r>
    <w:r w:rsidR="00320066" w:rsidRPr="00320066">
      <w:instrText xml:space="preserve"> NUMPAGES </w:instrText>
    </w:r>
    <w:r w:rsidR="00320066" w:rsidRPr="00320066">
      <w:fldChar w:fldCharType="separate"/>
    </w:r>
    <w:r w:rsidR="00E343F5">
      <w:instrText>11</w:instrText>
    </w:r>
    <w:r w:rsidR="00320066" w:rsidRPr="00320066">
      <w:fldChar w:fldCharType="end"/>
    </w:r>
    <w:r w:rsidR="00320066" w:rsidRPr="00320066">
      <w:instrText xml:space="preserve">" "" </w:instrText>
    </w:r>
    <w:r w:rsidR="00320066" w:rsidRPr="00320066">
      <w:fldChar w:fldCharType="separate"/>
    </w:r>
    <w:r w:rsidR="00E343F5">
      <w:t>1</w:t>
    </w:r>
    <w:r w:rsidR="00E343F5" w:rsidRPr="00320066">
      <w:t>/</w:t>
    </w:r>
    <w:r w:rsidR="00E343F5">
      <w:t>11</w:t>
    </w:r>
    <w:r w:rsidR="00320066" w:rsidRPr="003200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174E" w14:textId="77777777" w:rsidR="0017420E" w:rsidRDefault="0017420E" w:rsidP="00F90C43">
      <w:r>
        <w:separator/>
      </w:r>
    </w:p>
  </w:footnote>
  <w:footnote w:type="continuationSeparator" w:id="0">
    <w:p w14:paraId="08528A22" w14:textId="77777777" w:rsidR="0017420E" w:rsidRDefault="0017420E" w:rsidP="00F9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6931" w14:textId="77777777" w:rsidR="00FD1F06" w:rsidRDefault="006E5EDB">
    <w:pPr>
      <w:pStyle w:val="Koptekst"/>
    </w:pPr>
    <w:r>
      <w:rPr>
        <w:noProof/>
      </w:rPr>
      <mc:AlternateContent>
        <mc:Choice Requires="wps">
          <w:drawing>
            <wp:anchor distT="0" distB="0" distL="114300" distR="114300" simplePos="0" relativeHeight="251670528" behindDoc="0" locked="1" layoutInCell="1" allowOverlap="1" wp14:anchorId="7A2E0A9D" wp14:editId="535A2E7B">
              <wp:simplePos x="0" y="0"/>
              <wp:positionH relativeFrom="page">
                <wp:align>left</wp:align>
              </wp:positionH>
              <wp:positionV relativeFrom="page">
                <wp:align>top</wp:align>
              </wp:positionV>
              <wp:extent cx="7560000" cy="10692000"/>
              <wp:effectExtent l="0" t="0" r="0" b="0"/>
              <wp:wrapNone/>
              <wp:docPr id="17" name="Aan voor print p2" hidden="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80D28" id="Aan voor print p2" o:spid="_x0000_s1026" style="position:absolute;margin-left:0;margin-top:0;width:595.3pt;height:841.9pt;z-index:251670528;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" fillcolor="white [3212]" stroked="f" strokeweight="1pt">
              <w10:wrap anchorx="page" anchory="page"/>
              <w10:anchorlock/>
            </v:rect>
          </w:pict>
        </mc:Fallback>
      </mc:AlternateContent>
    </w:r>
    <w:r w:rsidR="00FD1F06">
      <w:rPr>
        <w:noProof/>
      </w:rPr>
      <w:drawing>
        <wp:anchor distT="0" distB="0" distL="114300" distR="114300" simplePos="0" relativeHeight="251666432" behindDoc="1" locked="1" layoutInCell="1" allowOverlap="1" wp14:anchorId="45B611DB" wp14:editId="74D7CAFC">
          <wp:simplePos x="0" y="0"/>
          <wp:positionH relativeFrom="page">
            <wp:posOffset>3971290</wp:posOffset>
          </wp:positionH>
          <wp:positionV relativeFrom="page">
            <wp:posOffset>407035</wp:posOffset>
          </wp:positionV>
          <wp:extent cx="3250800" cy="702000"/>
          <wp:effectExtent l="0" t="0" r="6985" b="3175"/>
          <wp:wrapNone/>
          <wp:docPr id="10" name="Log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3250800" cy="70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06104" w14:textId="77777777" w:rsidR="00F90C43" w:rsidRDefault="006E5EDB">
    <w:pPr>
      <w:pStyle w:val="Koptekst"/>
    </w:pPr>
    <w:r>
      <w:rPr>
        <w:noProof/>
      </w:rPr>
      <mc:AlternateContent>
        <mc:Choice Requires="wps">
          <w:drawing>
            <wp:anchor distT="0" distB="0" distL="114300" distR="114300" simplePos="0" relativeHeight="251665407" behindDoc="0" locked="1" layoutInCell="1" allowOverlap="1" wp14:anchorId="40B25426" wp14:editId="1452F9FE">
              <wp:simplePos x="426720" y="231648"/>
              <wp:positionH relativeFrom="page">
                <wp:align>left</wp:align>
              </wp:positionH>
              <wp:positionV relativeFrom="page">
                <wp:align>top</wp:align>
              </wp:positionV>
              <wp:extent cx="7560000" cy="10692000"/>
              <wp:effectExtent l="0" t="0" r="0" b="0"/>
              <wp:wrapNone/>
              <wp:docPr id="16" name="Aan voor print p1" hidden="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AF3F1" id="Aan voor print p1" o:spid="_x0000_s1026" style="position:absolute;margin-left:0;margin-top:0;width:595.3pt;height:841.9pt;z-index:251665407;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" fillcolor="white [3212]" stroked="f" strokeweight="1pt">
              <w10:wrap anchorx="page" anchory="page"/>
              <w10:anchorlock/>
            </v:rect>
          </w:pict>
        </mc:Fallback>
      </mc:AlternateContent>
    </w:r>
    <w:r w:rsidR="00950DC3">
      <w:rPr>
        <w:noProof/>
      </w:rPr>
      <w:drawing>
        <wp:anchor distT="0" distB="0" distL="114300" distR="114300" simplePos="0" relativeHeight="251663360" behindDoc="1" locked="1" layoutInCell="1" allowOverlap="1" wp14:anchorId="4E4D43FD" wp14:editId="05361C07">
          <wp:simplePos x="0" y="0"/>
          <wp:positionH relativeFrom="page">
            <wp:posOffset>3970020</wp:posOffset>
          </wp:positionH>
          <wp:positionV relativeFrom="page">
            <wp:posOffset>405765</wp:posOffset>
          </wp:positionV>
          <wp:extent cx="3250565" cy="701675"/>
          <wp:effectExtent l="0" t="0" r="6985" b="3175"/>
          <wp:wrapNone/>
          <wp:docPr id="4" name="Log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3250565" cy="701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B18"/>
    <w:multiLevelType w:val="multilevel"/>
    <w:tmpl w:val="64743DBA"/>
    <w:styleLink w:val="Cijfers"/>
    <w:lvl w:ilvl="0">
      <w:start w:val="1"/>
      <w:numFmt w:val="decimal"/>
      <w:pStyle w:val="1eCijfer"/>
      <w:lvlText w:val="%1."/>
      <w:lvlJc w:val="left"/>
      <w:pPr>
        <w:ind w:left="454" w:hanging="454"/>
      </w:pPr>
      <w:rPr>
        <w:rFonts w:hint="default"/>
      </w:rPr>
    </w:lvl>
    <w:lvl w:ilvl="1">
      <w:start w:val="1"/>
      <w:numFmt w:val="decimal"/>
      <w:pStyle w:val="2eCijferev"/>
      <w:lvlText w:val="%2."/>
      <w:lvlJc w:val="left"/>
      <w:pPr>
        <w:ind w:left="908" w:hanging="454"/>
      </w:pPr>
      <w:rPr>
        <w:rFonts w:hint="default"/>
      </w:rPr>
    </w:lvl>
    <w:lvl w:ilvl="2">
      <w:start w:val="1"/>
      <w:numFmt w:val="decimal"/>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decimal"/>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decimal"/>
      <w:lvlText w:val="%8."/>
      <w:lvlJc w:val="left"/>
      <w:pPr>
        <w:ind w:left="3632" w:hanging="454"/>
      </w:pPr>
      <w:rPr>
        <w:rFonts w:hint="default"/>
      </w:rPr>
    </w:lvl>
    <w:lvl w:ilvl="8">
      <w:start w:val="1"/>
      <w:numFmt w:val="decimal"/>
      <w:lvlText w:val="%9."/>
      <w:lvlJc w:val="left"/>
      <w:pPr>
        <w:ind w:left="4086" w:hanging="454"/>
      </w:pPr>
      <w:rPr>
        <w:rFonts w:hint="default"/>
      </w:rPr>
    </w:lvl>
  </w:abstractNum>
  <w:abstractNum w:abstractNumId="1" w15:restartNumberingAfterBreak="0">
    <w:nsid w:val="072D6780"/>
    <w:multiLevelType w:val="hybridMultilevel"/>
    <w:tmpl w:val="3FD05BE8"/>
    <w:lvl w:ilvl="0" w:tplc="CA4A180E">
      <w:start w:val="1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F166EE"/>
    <w:multiLevelType w:val="multilevel"/>
    <w:tmpl w:val="E77C4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4C7AD5"/>
    <w:multiLevelType w:val="multilevel"/>
    <w:tmpl w:val="3808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8441E"/>
    <w:multiLevelType w:val="multilevel"/>
    <w:tmpl w:val="466E7426"/>
    <w:styleLink w:val="Bullet"/>
    <w:lvl w:ilvl="0">
      <w:start w:val="1"/>
      <w:numFmt w:val="bullet"/>
      <w:pStyle w:val="1eBullet"/>
      <w:lvlText w:val=""/>
      <w:lvlJc w:val="left"/>
      <w:pPr>
        <w:ind w:left="227" w:hanging="227"/>
      </w:pPr>
      <w:rPr>
        <w:rFonts w:ascii="Symbol" w:hAnsi="Symbol" w:hint="default"/>
        <w:color w:val="641409" w:themeColor="accent1"/>
      </w:rPr>
    </w:lvl>
    <w:lvl w:ilvl="1">
      <w:start w:val="1"/>
      <w:numFmt w:val="bullet"/>
      <w:pStyle w:val="2eBulletev"/>
      <w:lvlText w:val="–"/>
      <w:lvlJc w:val="left"/>
      <w:pPr>
        <w:ind w:left="454" w:hanging="227"/>
      </w:pPr>
      <w:rPr>
        <w:rFonts w:ascii="Times New Roman" w:hAnsi="Times New Roman" w:cs="Times New Roman" w:hint="default"/>
      </w:rPr>
    </w:lvl>
    <w:lvl w:ilvl="2">
      <w:start w:val="1"/>
      <w:numFmt w:val="bullet"/>
      <w:lvlText w:val="–"/>
      <w:lvlJc w:val="left"/>
      <w:pPr>
        <w:ind w:left="681" w:hanging="227"/>
      </w:pPr>
      <w:rPr>
        <w:rFonts w:ascii="Times New Roman" w:hAnsi="Times New Roman" w:cs="Times New Roman" w:hint="default"/>
      </w:rPr>
    </w:lvl>
    <w:lvl w:ilvl="3">
      <w:start w:val="1"/>
      <w:numFmt w:val="bullet"/>
      <w:lvlText w:val="–"/>
      <w:lvlJc w:val="left"/>
      <w:pPr>
        <w:ind w:left="908" w:hanging="227"/>
      </w:pPr>
      <w:rPr>
        <w:rFonts w:ascii="Times New Roman" w:hAnsi="Times New Roman" w:cs="Times New Roman" w:hint="default"/>
      </w:rPr>
    </w:lvl>
    <w:lvl w:ilvl="4">
      <w:start w:val="1"/>
      <w:numFmt w:val="bullet"/>
      <w:lvlText w:val="–"/>
      <w:lvlJc w:val="left"/>
      <w:pPr>
        <w:ind w:left="1135" w:hanging="227"/>
      </w:pPr>
      <w:rPr>
        <w:rFonts w:ascii="Times New Roman" w:hAnsi="Times New Roman" w:cs="Times New Roman" w:hint="default"/>
      </w:rPr>
    </w:lvl>
    <w:lvl w:ilvl="5">
      <w:start w:val="1"/>
      <w:numFmt w:val="bullet"/>
      <w:lvlText w:val="–"/>
      <w:lvlJc w:val="left"/>
      <w:pPr>
        <w:ind w:left="1362" w:hanging="227"/>
      </w:pPr>
      <w:rPr>
        <w:rFonts w:ascii="Times New Roman" w:hAnsi="Times New Roman" w:cs="Times New Roman" w:hint="default"/>
      </w:rPr>
    </w:lvl>
    <w:lvl w:ilvl="6">
      <w:start w:val="1"/>
      <w:numFmt w:val="bullet"/>
      <w:lvlText w:val="–"/>
      <w:lvlJc w:val="left"/>
      <w:pPr>
        <w:ind w:left="1589" w:hanging="227"/>
      </w:pPr>
      <w:rPr>
        <w:rFonts w:ascii="Times New Roman" w:hAnsi="Times New Roman" w:cs="Times New Roman" w:hint="default"/>
      </w:rPr>
    </w:lvl>
    <w:lvl w:ilvl="7">
      <w:start w:val="1"/>
      <w:numFmt w:val="bullet"/>
      <w:lvlText w:val="–"/>
      <w:lvlJc w:val="left"/>
      <w:pPr>
        <w:ind w:left="1816" w:hanging="227"/>
      </w:pPr>
      <w:rPr>
        <w:rFonts w:ascii="Times New Roman" w:hAnsi="Times New Roman" w:cs="Times New Roman" w:hint="default"/>
      </w:rPr>
    </w:lvl>
    <w:lvl w:ilvl="8">
      <w:start w:val="1"/>
      <w:numFmt w:val="bullet"/>
      <w:lvlText w:val="–"/>
      <w:lvlJc w:val="left"/>
      <w:pPr>
        <w:ind w:left="2043" w:hanging="227"/>
      </w:pPr>
      <w:rPr>
        <w:rFonts w:ascii="Times New Roman" w:hAnsi="Times New Roman" w:cs="Times New Roman" w:hint="default"/>
      </w:rPr>
    </w:lvl>
  </w:abstractNum>
  <w:abstractNum w:abstractNumId="5" w15:restartNumberingAfterBreak="0">
    <w:nsid w:val="28F04904"/>
    <w:multiLevelType w:val="multilevel"/>
    <w:tmpl w:val="D47AD60C"/>
    <w:styleLink w:val="Letter"/>
    <w:lvl w:ilvl="0">
      <w:start w:val="1"/>
      <w:numFmt w:val="lowerLetter"/>
      <w:pStyle w:val="1eLetter"/>
      <w:lvlText w:val="%1."/>
      <w:lvlJc w:val="left"/>
      <w:pPr>
        <w:ind w:left="454" w:hanging="454"/>
      </w:pPr>
      <w:rPr>
        <w:rFonts w:hint="default"/>
      </w:rPr>
    </w:lvl>
    <w:lvl w:ilvl="1">
      <w:start w:val="1"/>
      <w:numFmt w:val="lowerLetter"/>
      <w:pStyle w:val="2eLetterev"/>
      <w:lvlText w:val="%2."/>
      <w:lvlJc w:val="left"/>
      <w:pPr>
        <w:ind w:left="908" w:hanging="454"/>
      </w:pPr>
      <w:rPr>
        <w:rFonts w:hint="default"/>
      </w:rPr>
    </w:lvl>
    <w:lvl w:ilvl="2">
      <w:start w:val="1"/>
      <w:numFmt w:val="lowerLetter"/>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Letter"/>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Letter"/>
      <w:lvlText w:val="%9."/>
      <w:lvlJc w:val="left"/>
      <w:pPr>
        <w:ind w:left="4086" w:hanging="454"/>
      </w:pPr>
      <w:rPr>
        <w:rFonts w:hint="default"/>
      </w:rPr>
    </w:lvl>
  </w:abstractNum>
  <w:abstractNum w:abstractNumId="6" w15:restartNumberingAfterBreak="0">
    <w:nsid w:val="31793E0A"/>
    <w:multiLevelType w:val="hybridMultilevel"/>
    <w:tmpl w:val="AF388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6E02B1"/>
    <w:multiLevelType w:val="multilevel"/>
    <w:tmpl w:val="64743DBA"/>
    <w:numStyleLink w:val="Cijfers"/>
  </w:abstractNum>
  <w:abstractNum w:abstractNumId="8" w15:restartNumberingAfterBreak="0">
    <w:nsid w:val="56927322"/>
    <w:multiLevelType w:val="hybridMultilevel"/>
    <w:tmpl w:val="CBC03252"/>
    <w:lvl w:ilvl="0" w:tplc="570A78C0">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407623">
    <w:abstractNumId w:val="6"/>
  </w:num>
  <w:num w:numId="2" w16cid:durableId="161744586">
    <w:abstractNumId w:val="4"/>
  </w:num>
  <w:num w:numId="3" w16cid:durableId="2089501846">
    <w:abstractNumId w:val="0"/>
  </w:num>
  <w:num w:numId="4" w16cid:durableId="325209609">
    <w:abstractNumId w:val="7"/>
  </w:num>
  <w:num w:numId="5" w16cid:durableId="1080521817">
    <w:abstractNumId w:val="5"/>
  </w:num>
  <w:num w:numId="6" w16cid:durableId="319234784">
    <w:abstractNumId w:val="8"/>
  </w:num>
  <w:num w:numId="7" w16cid:durableId="1969847818">
    <w:abstractNumId w:val="2"/>
  </w:num>
  <w:num w:numId="8" w16cid:durableId="162622908">
    <w:abstractNumId w:val="1"/>
  </w:num>
  <w:num w:numId="9" w16cid:durableId="433787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CC"/>
    <w:rsid w:val="000037A8"/>
    <w:rsid w:val="0003146B"/>
    <w:rsid w:val="00053C07"/>
    <w:rsid w:val="00056323"/>
    <w:rsid w:val="0007724B"/>
    <w:rsid w:val="000D5896"/>
    <w:rsid w:val="000F2302"/>
    <w:rsid w:val="00126DEA"/>
    <w:rsid w:val="001372FA"/>
    <w:rsid w:val="00171295"/>
    <w:rsid w:val="0017420E"/>
    <w:rsid w:val="00180342"/>
    <w:rsid w:val="0019251A"/>
    <w:rsid w:val="001A13D5"/>
    <w:rsid w:val="001A349E"/>
    <w:rsid w:val="001A6E32"/>
    <w:rsid w:val="001D1C25"/>
    <w:rsid w:val="001E11DD"/>
    <w:rsid w:val="001E3EB7"/>
    <w:rsid w:val="001F626B"/>
    <w:rsid w:val="001F77DA"/>
    <w:rsid w:val="00227DBF"/>
    <w:rsid w:val="002B53B5"/>
    <w:rsid w:val="002C6336"/>
    <w:rsid w:val="002F2D1A"/>
    <w:rsid w:val="00301F36"/>
    <w:rsid w:val="00320066"/>
    <w:rsid w:val="00333C35"/>
    <w:rsid w:val="00335407"/>
    <w:rsid w:val="003358ED"/>
    <w:rsid w:val="00340253"/>
    <w:rsid w:val="00354937"/>
    <w:rsid w:val="0039438A"/>
    <w:rsid w:val="003C5436"/>
    <w:rsid w:val="003F5978"/>
    <w:rsid w:val="00412B59"/>
    <w:rsid w:val="004618F6"/>
    <w:rsid w:val="00490397"/>
    <w:rsid w:val="004970FA"/>
    <w:rsid w:val="004F1C0F"/>
    <w:rsid w:val="00506174"/>
    <w:rsid w:val="00515B49"/>
    <w:rsid w:val="0054235E"/>
    <w:rsid w:val="00586A4E"/>
    <w:rsid w:val="0059411D"/>
    <w:rsid w:val="005A0804"/>
    <w:rsid w:val="005E4798"/>
    <w:rsid w:val="005E680A"/>
    <w:rsid w:val="00610B51"/>
    <w:rsid w:val="00636C51"/>
    <w:rsid w:val="00647E59"/>
    <w:rsid w:val="0065538E"/>
    <w:rsid w:val="0066728D"/>
    <w:rsid w:val="0069553E"/>
    <w:rsid w:val="006C6C0D"/>
    <w:rsid w:val="006D12B4"/>
    <w:rsid w:val="006E4C18"/>
    <w:rsid w:val="006E5EDB"/>
    <w:rsid w:val="006F0F73"/>
    <w:rsid w:val="00722F94"/>
    <w:rsid w:val="0072565C"/>
    <w:rsid w:val="007432DD"/>
    <w:rsid w:val="00752C35"/>
    <w:rsid w:val="00755EFF"/>
    <w:rsid w:val="00761449"/>
    <w:rsid w:val="0077224F"/>
    <w:rsid w:val="0081772C"/>
    <w:rsid w:val="00826045"/>
    <w:rsid w:val="008C4BC5"/>
    <w:rsid w:val="008D434B"/>
    <w:rsid w:val="008E58AE"/>
    <w:rsid w:val="00927C4D"/>
    <w:rsid w:val="00935F4B"/>
    <w:rsid w:val="0093790E"/>
    <w:rsid w:val="00944683"/>
    <w:rsid w:val="00950DC3"/>
    <w:rsid w:val="009665D6"/>
    <w:rsid w:val="00974B7A"/>
    <w:rsid w:val="009930AE"/>
    <w:rsid w:val="009A0D99"/>
    <w:rsid w:val="009B0146"/>
    <w:rsid w:val="009B5787"/>
    <w:rsid w:val="009B61ED"/>
    <w:rsid w:val="009E7A2A"/>
    <w:rsid w:val="00A516FA"/>
    <w:rsid w:val="00A62E4A"/>
    <w:rsid w:val="00AC7AD6"/>
    <w:rsid w:val="00AF4335"/>
    <w:rsid w:val="00B338D3"/>
    <w:rsid w:val="00B64BF7"/>
    <w:rsid w:val="00B8495D"/>
    <w:rsid w:val="00BE6C8F"/>
    <w:rsid w:val="00C46BDD"/>
    <w:rsid w:val="00C96A2F"/>
    <w:rsid w:val="00CA2453"/>
    <w:rsid w:val="00CD66DC"/>
    <w:rsid w:val="00CE4203"/>
    <w:rsid w:val="00D16EDD"/>
    <w:rsid w:val="00D23757"/>
    <w:rsid w:val="00D25D33"/>
    <w:rsid w:val="00D32D43"/>
    <w:rsid w:val="00D73078"/>
    <w:rsid w:val="00D868B1"/>
    <w:rsid w:val="00DD1269"/>
    <w:rsid w:val="00DF133E"/>
    <w:rsid w:val="00DF2314"/>
    <w:rsid w:val="00E17124"/>
    <w:rsid w:val="00E17C38"/>
    <w:rsid w:val="00E343F5"/>
    <w:rsid w:val="00E41C1D"/>
    <w:rsid w:val="00E72CDC"/>
    <w:rsid w:val="00E85588"/>
    <w:rsid w:val="00EA57CC"/>
    <w:rsid w:val="00EB239F"/>
    <w:rsid w:val="00EC2132"/>
    <w:rsid w:val="00EC6173"/>
    <w:rsid w:val="00ED59EB"/>
    <w:rsid w:val="00EF750C"/>
    <w:rsid w:val="00F432C3"/>
    <w:rsid w:val="00F615FC"/>
    <w:rsid w:val="00F619F6"/>
    <w:rsid w:val="00F73C12"/>
    <w:rsid w:val="00F767D0"/>
    <w:rsid w:val="00F768F7"/>
    <w:rsid w:val="00F843CC"/>
    <w:rsid w:val="00F848EC"/>
    <w:rsid w:val="00F90C43"/>
    <w:rsid w:val="00FC38D2"/>
    <w:rsid w:val="00FD1F06"/>
    <w:rsid w:val="00FD384E"/>
    <w:rsid w:val="00FD5ABB"/>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AAC5"/>
  <w15:chartTrackingRefBased/>
  <w15:docId w15:val="{14CAB0BB-7083-DC4A-AD92-3D13344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tillium Web" w:eastAsiaTheme="minorHAnsi" w:hAnsi="Titillium Web" w:cstheme="minorBidi"/>
        <w:sz w:val="18"/>
        <w:szCs w:val="18"/>
        <w:lang w:val="nl-NL" w:eastAsia="nl-NL"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ard">
    <w:name w:val="Normal"/>
    <w:qFormat/>
    <w:rsid w:val="00F843CC"/>
    <w:pPr>
      <w:spacing w:line="240" w:lineRule="auto"/>
    </w:pPr>
    <w:rPr>
      <w:rFonts w:ascii="Arial" w:hAnsi="Arial" w:cs="Arial"/>
      <w:color w:val="323232"/>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340253"/>
    <w:pPr>
      <w:tabs>
        <w:tab w:val="center" w:pos="4513"/>
        <w:tab w:val="right" w:pos="9026"/>
      </w:tabs>
    </w:pPr>
  </w:style>
  <w:style w:type="character" w:customStyle="1" w:styleId="KoptekstChar">
    <w:name w:val="Koptekst Char"/>
    <w:basedOn w:val="Standaardalinea-lettertype"/>
    <w:link w:val="Koptekst"/>
    <w:uiPriority w:val="99"/>
    <w:semiHidden/>
    <w:rsid w:val="00F615FC"/>
    <w:rPr>
      <w:kern w:val="14"/>
    </w:rPr>
  </w:style>
  <w:style w:type="paragraph" w:styleId="Voettekst">
    <w:name w:val="footer"/>
    <w:basedOn w:val="Standaard"/>
    <w:link w:val="VoettekstChar"/>
    <w:uiPriority w:val="99"/>
    <w:semiHidden/>
    <w:rsid w:val="00340253"/>
    <w:pPr>
      <w:tabs>
        <w:tab w:val="center" w:pos="4513"/>
        <w:tab w:val="right" w:pos="9026"/>
      </w:tabs>
    </w:pPr>
  </w:style>
  <w:style w:type="character" w:customStyle="1" w:styleId="VoettekstChar">
    <w:name w:val="Voettekst Char"/>
    <w:basedOn w:val="Standaardalinea-lettertype"/>
    <w:link w:val="Voettekst"/>
    <w:uiPriority w:val="99"/>
    <w:semiHidden/>
    <w:rsid w:val="00F615FC"/>
    <w:rPr>
      <w:kern w:val="14"/>
    </w:rPr>
  </w:style>
  <w:style w:type="character" w:styleId="Hyperlink">
    <w:name w:val="Hyperlink"/>
    <w:basedOn w:val="Standaardalinea-lettertype"/>
    <w:uiPriority w:val="99"/>
    <w:semiHidden/>
    <w:rsid w:val="00340253"/>
    <w:rPr>
      <w:color w:val="0077C8" w:themeColor="hyperlink"/>
      <w:u w:val="none"/>
    </w:rPr>
  </w:style>
  <w:style w:type="character" w:styleId="Nadruk">
    <w:name w:val="Emphasis"/>
    <w:basedOn w:val="Standaardalinea-lettertype"/>
    <w:uiPriority w:val="20"/>
    <w:semiHidden/>
    <w:qFormat/>
    <w:rsid w:val="00340253"/>
    <w:rPr>
      <w:i/>
      <w:iCs/>
    </w:rPr>
  </w:style>
  <w:style w:type="paragraph" w:styleId="Ballontekst">
    <w:name w:val="Balloon Text"/>
    <w:basedOn w:val="Standaard"/>
    <w:link w:val="BallontekstChar"/>
    <w:uiPriority w:val="99"/>
    <w:semiHidden/>
    <w:rsid w:val="00340253"/>
    <w:rPr>
      <w:rFonts w:ascii="Tahoma" w:hAnsi="Tahoma" w:cs="Tahoma"/>
      <w:sz w:val="16"/>
      <w:szCs w:val="16"/>
    </w:rPr>
  </w:style>
  <w:style w:type="character" w:customStyle="1" w:styleId="BallontekstChar">
    <w:name w:val="Ballontekst Char"/>
    <w:basedOn w:val="Standaardalinea-lettertype"/>
    <w:link w:val="Ballontekst"/>
    <w:uiPriority w:val="99"/>
    <w:semiHidden/>
    <w:rsid w:val="00F615FC"/>
    <w:rPr>
      <w:rFonts w:ascii="Tahoma" w:hAnsi="Tahoma" w:cs="Tahoma"/>
      <w:kern w:val="14"/>
      <w:sz w:val="16"/>
      <w:szCs w:val="16"/>
    </w:rPr>
  </w:style>
  <w:style w:type="table" w:styleId="Tabelraster">
    <w:name w:val="Table Grid"/>
    <w:uiPriority w:val="59"/>
    <w:rsid w:val="0066728D"/>
    <w:rPr>
      <w:color w:val="000000" w:themeColor="text1"/>
      <w:kern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3" w:type="dxa"/>
        <w:bottom w:w="28" w:type="dxa"/>
        <w:right w:w="113" w:type="dxa"/>
      </w:tblCellMar>
    </w:tblPr>
  </w:style>
  <w:style w:type="table" w:customStyle="1" w:styleId="Adrestabel">
    <w:name w:val="_Adrestabel"/>
    <w:basedOn w:val="Standaardtabel"/>
    <w:uiPriority w:val="99"/>
    <w:rsid w:val="00D25D33"/>
    <w:rPr>
      <w:kern w:val="16"/>
    </w:rPr>
    <w:tblPr>
      <w:tblCellMar>
        <w:left w:w="0" w:type="dxa"/>
        <w:right w:w="0" w:type="dxa"/>
      </w:tblCellMar>
    </w:tblPr>
  </w:style>
  <w:style w:type="table" w:styleId="Onopgemaaktetabel5">
    <w:name w:val="Plain Table 5"/>
    <w:basedOn w:val="Standaardtabel"/>
    <w:uiPriority w:val="45"/>
    <w:rsid w:val="00D25D3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D25D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
    <w:name w:val="Grid Table 1 Light"/>
    <w:basedOn w:val="Standaardtabel"/>
    <w:uiPriority w:val="46"/>
    <w:rsid w:val="00D25D3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D25D33"/>
    <w:pPr>
      <w:spacing w:line="240" w:lineRule="auto"/>
    </w:pPr>
    <w:tblPr>
      <w:tblStyleRowBandSize w:val="1"/>
      <w:tblStyleColBandSize w:val="1"/>
      <w:tblBorders>
        <w:top w:val="single" w:sz="4" w:space="0" w:color="F17B6B" w:themeColor="accent1" w:themeTint="66"/>
        <w:left w:val="single" w:sz="4" w:space="0" w:color="F17B6B" w:themeColor="accent1" w:themeTint="66"/>
        <w:bottom w:val="single" w:sz="4" w:space="0" w:color="F17B6B" w:themeColor="accent1" w:themeTint="66"/>
        <w:right w:val="single" w:sz="4" w:space="0" w:color="F17B6B" w:themeColor="accent1" w:themeTint="66"/>
        <w:insideH w:val="single" w:sz="4" w:space="0" w:color="F17B6B" w:themeColor="accent1" w:themeTint="66"/>
        <w:insideV w:val="single" w:sz="4" w:space="0" w:color="F17B6B" w:themeColor="accent1" w:themeTint="66"/>
      </w:tblBorders>
    </w:tblPr>
    <w:tblStylePr w:type="firstRow">
      <w:rPr>
        <w:b/>
        <w:bCs/>
      </w:rPr>
      <w:tblPr/>
      <w:tcPr>
        <w:tcBorders>
          <w:bottom w:val="single" w:sz="12" w:space="0" w:color="EB3922" w:themeColor="accent1" w:themeTint="99"/>
        </w:tcBorders>
      </w:tcPr>
    </w:tblStylePr>
    <w:tblStylePr w:type="lastRow">
      <w:rPr>
        <w:b/>
        <w:bCs/>
      </w:rPr>
      <w:tblPr/>
      <w:tcPr>
        <w:tcBorders>
          <w:top w:val="double" w:sz="2" w:space="0" w:color="EB392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D25D33"/>
    <w:pPr>
      <w:spacing w:line="240" w:lineRule="auto"/>
    </w:pPr>
    <w:tblPr>
      <w:tblStyleRowBandSize w:val="1"/>
      <w:tblStyleColBandSize w:val="1"/>
      <w:tblBorders>
        <w:top w:val="single" w:sz="4" w:space="0" w:color="BFE7F2" w:themeColor="accent2" w:themeTint="66"/>
        <w:left w:val="single" w:sz="4" w:space="0" w:color="BFE7F2" w:themeColor="accent2" w:themeTint="66"/>
        <w:bottom w:val="single" w:sz="4" w:space="0" w:color="BFE7F2" w:themeColor="accent2" w:themeTint="66"/>
        <w:right w:val="single" w:sz="4" w:space="0" w:color="BFE7F2" w:themeColor="accent2" w:themeTint="66"/>
        <w:insideH w:val="single" w:sz="4" w:space="0" w:color="BFE7F2" w:themeColor="accent2" w:themeTint="66"/>
        <w:insideV w:val="single" w:sz="4" w:space="0" w:color="BFE7F2" w:themeColor="accent2" w:themeTint="66"/>
      </w:tblBorders>
    </w:tblPr>
    <w:tblStylePr w:type="firstRow">
      <w:rPr>
        <w:b/>
        <w:bCs/>
      </w:rPr>
      <w:tblPr/>
      <w:tcPr>
        <w:tcBorders>
          <w:bottom w:val="single" w:sz="12" w:space="0" w:color="9FDBEC" w:themeColor="accent2" w:themeTint="99"/>
        </w:tcBorders>
      </w:tcPr>
    </w:tblStylePr>
    <w:tblStylePr w:type="lastRow">
      <w:rPr>
        <w:b/>
        <w:bCs/>
      </w:rPr>
      <w:tblPr/>
      <w:tcPr>
        <w:tcBorders>
          <w:top w:val="double" w:sz="2" w:space="0" w:color="9FDBEC"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D25D33"/>
    <w:pPr>
      <w:spacing w:line="240" w:lineRule="auto"/>
    </w:pPr>
    <w:tblPr>
      <w:tblStyleRowBandSize w:val="1"/>
      <w:tblStyleColBandSize w:val="1"/>
      <w:tblBorders>
        <w:top w:val="single" w:sz="4" w:space="0" w:color="FF89A6" w:themeColor="accent3" w:themeTint="66"/>
        <w:left w:val="single" w:sz="4" w:space="0" w:color="FF89A6" w:themeColor="accent3" w:themeTint="66"/>
        <w:bottom w:val="single" w:sz="4" w:space="0" w:color="FF89A6" w:themeColor="accent3" w:themeTint="66"/>
        <w:right w:val="single" w:sz="4" w:space="0" w:color="FF89A6" w:themeColor="accent3" w:themeTint="66"/>
        <w:insideH w:val="single" w:sz="4" w:space="0" w:color="FF89A6" w:themeColor="accent3" w:themeTint="66"/>
        <w:insideV w:val="single" w:sz="4" w:space="0" w:color="FF89A6" w:themeColor="accent3" w:themeTint="66"/>
      </w:tblBorders>
    </w:tblPr>
    <w:tblStylePr w:type="firstRow">
      <w:rPr>
        <w:b/>
        <w:bCs/>
      </w:rPr>
      <w:tblPr/>
      <w:tcPr>
        <w:tcBorders>
          <w:bottom w:val="single" w:sz="12" w:space="0" w:color="FF4E7A" w:themeColor="accent3" w:themeTint="99"/>
        </w:tcBorders>
      </w:tcPr>
    </w:tblStylePr>
    <w:tblStylePr w:type="lastRow">
      <w:rPr>
        <w:b/>
        <w:bCs/>
      </w:rPr>
      <w:tblPr/>
      <w:tcPr>
        <w:tcBorders>
          <w:top w:val="double" w:sz="2" w:space="0" w:color="FF4E7A"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D25D33"/>
    <w:pPr>
      <w:spacing w:line="240" w:lineRule="auto"/>
    </w:pPr>
    <w:tblPr>
      <w:tblStyleRowBandSize w:val="1"/>
      <w:tblStyleColBandSize w:val="1"/>
      <w:tblBorders>
        <w:top w:val="single" w:sz="4" w:space="0" w:color="FFE2A3" w:themeColor="accent4" w:themeTint="66"/>
        <w:left w:val="single" w:sz="4" w:space="0" w:color="FFE2A3" w:themeColor="accent4" w:themeTint="66"/>
        <w:bottom w:val="single" w:sz="4" w:space="0" w:color="FFE2A3" w:themeColor="accent4" w:themeTint="66"/>
        <w:right w:val="single" w:sz="4" w:space="0" w:color="FFE2A3" w:themeColor="accent4" w:themeTint="66"/>
        <w:insideH w:val="single" w:sz="4" w:space="0" w:color="FFE2A3" w:themeColor="accent4" w:themeTint="66"/>
        <w:insideV w:val="single" w:sz="4" w:space="0" w:color="FFE2A3" w:themeColor="accent4" w:themeTint="66"/>
      </w:tblBorders>
    </w:tblPr>
    <w:tblStylePr w:type="firstRow">
      <w:rPr>
        <w:b/>
        <w:bCs/>
      </w:rPr>
      <w:tblPr/>
      <w:tcPr>
        <w:tcBorders>
          <w:bottom w:val="single" w:sz="12" w:space="0" w:color="FFD475" w:themeColor="accent4" w:themeTint="99"/>
        </w:tcBorders>
      </w:tcPr>
    </w:tblStylePr>
    <w:tblStylePr w:type="lastRow">
      <w:rPr>
        <w:b/>
        <w:bCs/>
      </w:rPr>
      <w:tblPr/>
      <w:tcPr>
        <w:tcBorders>
          <w:top w:val="double" w:sz="2" w:space="0" w:color="FFD475"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D25D33"/>
    <w:pPr>
      <w:spacing w:line="240" w:lineRule="auto"/>
    </w:pPr>
    <w:tblPr>
      <w:tblStyleRowBandSize w:val="1"/>
      <w:tblStyleColBandSize w:val="1"/>
      <w:tblBorders>
        <w:top w:val="single" w:sz="4" w:space="0" w:color="6AC4FF" w:themeColor="accent5" w:themeTint="66"/>
        <w:left w:val="single" w:sz="4" w:space="0" w:color="6AC4FF" w:themeColor="accent5" w:themeTint="66"/>
        <w:bottom w:val="single" w:sz="4" w:space="0" w:color="6AC4FF" w:themeColor="accent5" w:themeTint="66"/>
        <w:right w:val="single" w:sz="4" w:space="0" w:color="6AC4FF" w:themeColor="accent5" w:themeTint="66"/>
        <w:insideH w:val="single" w:sz="4" w:space="0" w:color="6AC4FF" w:themeColor="accent5" w:themeTint="66"/>
        <w:insideV w:val="single" w:sz="4" w:space="0" w:color="6AC4FF" w:themeColor="accent5" w:themeTint="66"/>
      </w:tblBorders>
    </w:tblPr>
    <w:tblStylePr w:type="firstRow">
      <w:rPr>
        <w:b/>
        <w:bCs/>
      </w:rPr>
      <w:tblPr/>
      <w:tcPr>
        <w:tcBorders>
          <w:bottom w:val="single" w:sz="12" w:space="0" w:color="20A6FF" w:themeColor="accent5" w:themeTint="99"/>
        </w:tcBorders>
      </w:tcPr>
    </w:tblStylePr>
    <w:tblStylePr w:type="lastRow">
      <w:rPr>
        <w:b/>
        <w:bCs/>
      </w:rPr>
      <w:tblPr/>
      <w:tcPr>
        <w:tcBorders>
          <w:top w:val="double" w:sz="2" w:space="0" w:color="20A6FF" w:themeColor="accent5" w:themeTint="99"/>
        </w:tcBorders>
      </w:tcPr>
    </w:tblStylePr>
    <w:tblStylePr w:type="firstCol">
      <w:rPr>
        <w:b/>
        <w:bCs/>
      </w:rPr>
    </w:tblStylePr>
    <w:tblStylePr w:type="lastCol">
      <w:rPr>
        <w:b/>
        <w:bCs/>
      </w:rPr>
    </w:tblStylePr>
  </w:style>
  <w:style w:type="paragraph" w:customStyle="1" w:styleId="Footer">
    <w:name w:val="_Footer"/>
    <w:basedOn w:val="Standaard"/>
    <w:rsid w:val="00320066"/>
    <w:pPr>
      <w:tabs>
        <w:tab w:val="right" w:pos="7768"/>
      </w:tabs>
      <w:spacing w:line="220" w:lineRule="exact"/>
      <w:ind w:left="-510"/>
    </w:pPr>
    <w:rPr>
      <w:noProof/>
      <w:color w:val="641409" w:themeColor="accent1"/>
      <w:spacing w:val="6"/>
      <w:kern w:val="15"/>
      <w:sz w:val="15"/>
      <w:szCs w:val="15"/>
    </w:rPr>
  </w:style>
  <w:style w:type="paragraph" w:styleId="Lijstalinea">
    <w:name w:val="List Paragraph"/>
    <w:basedOn w:val="Standaard"/>
    <w:uiPriority w:val="34"/>
    <w:qFormat/>
    <w:rsid w:val="00FD1F06"/>
    <w:pPr>
      <w:ind w:left="720"/>
      <w:contextualSpacing/>
    </w:pPr>
  </w:style>
  <w:style w:type="paragraph" w:customStyle="1" w:styleId="1eBullet">
    <w:name w:val="1e Bullet"/>
    <w:basedOn w:val="Standaard"/>
    <w:uiPriority w:val="1"/>
    <w:qFormat/>
    <w:rsid w:val="00FD1F06"/>
    <w:pPr>
      <w:numPr>
        <w:numId w:val="2"/>
      </w:numPr>
    </w:pPr>
  </w:style>
  <w:style w:type="paragraph" w:customStyle="1" w:styleId="2eBulletev">
    <w:name w:val="2e Bullet e.v."/>
    <w:basedOn w:val="Standaard"/>
    <w:uiPriority w:val="1"/>
    <w:qFormat/>
    <w:rsid w:val="00FD1F06"/>
    <w:pPr>
      <w:numPr>
        <w:ilvl w:val="1"/>
        <w:numId w:val="2"/>
      </w:numPr>
    </w:pPr>
  </w:style>
  <w:style w:type="paragraph" w:customStyle="1" w:styleId="1eLetter">
    <w:name w:val="1e Letter"/>
    <w:basedOn w:val="Standaard"/>
    <w:uiPriority w:val="3"/>
    <w:qFormat/>
    <w:rsid w:val="001F626B"/>
    <w:pPr>
      <w:numPr>
        <w:numId w:val="5"/>
      </w:numPr>
    </w:pPr>
  </w:style>
  <w:style w:type="paragraph" w:customStyle="1" w:styleId="2eLetterev">
    <w:name w:val="2e Letter e.v."/>
    <w:basedOn w:val="Standaard"/>
    <w:uiPriority w:val="3"/>
    <w:qFormat/>
    <w:rsid w:val="001F626B"/>
    <w:pPr>
      <w:numPr>
        <w:ilvl w:val="1"/>
        <w:numId w:val="5"/>
      </w:numPr>
    </w:pPr>
  </w:style>
  <w:style w:type="paragraph" w:customStyle="1" w:styleId="1eCijfer">
    <w:name w:val="1e Cijfer"/>
    <w:basedOn w:val="Standaard"/>
    <w:uiPriority w:val="2"/>
    <w:qFormat/>
    <w:rsid w:val="009665D6"/>
    <w:pPr>
      <w:numPr>
        <w:numId w:val="4"/>
      </w:numPr>
    </w:pPr>
  </w:style>
  <w:style w:type="paragraph" w:customStyle="1" w:styleId="2eCijferev">
    <w:name w:val="2e Cijfer e.v."/>
    <w:basedOn w:val="Standaard"/>
    <w:uiPriority w:val="2"/>
    <w:qFormat/>
    <w:rsid w:val="009665D6"/>
    <w:pPr>
      <w:numPr>
        <w:ilvl w:val="1"/>
        <w:numId w:val="4"/>
      </w:numPr>
    </w:pPr>
  </w:style>
  <w:style w:type="numbering" w:customStyle="1" w:styleId="Bullet">
    <w:name w:val="_Bullet"/>
    <w:uiPriority w:val="99"/>
    <w:rsid w:val="001F626B"/>
    <w:pPr>
      <w:numPr>
        <w:numId w:val="2"/>
      </w:numPr>
    </w:pPr>
  </w:style>
  <w:style w:type="numbering" w:customStyle="1" w:styleId="Cijfers">
    <w:name w:val="_Cijfers"/>
    <w:uiPriority w:val="99"/>
    <w:rsid w:val="009665D6"/>
    <w:pPr>
      <w:numPr>
        <w:numId w:val="3"/>
      </w:numPr>
    </w:pPr>
  </w:style>
  <w:style w:type="numbering" w:customStyle="1" w:styleId="Letter">
    <w:name w:val="_Letter"/>
    <w:uiPriority w:val="99"/>
    <w:rsid w:val="009665D6"/>
    <w:pPr>
      <w:numPr>
        <w:numId w:val="5"/>
      </w:numPr>
    </w:pPr>
  </w:style>
  <w:style w:type="paragraph" w:customStyle="1" w:styleId="Tussenkop">
    <w:name w:val="Tussenkop"/>
    <w:basedOn w:val="Standaard"/>
    <w:next w:val="Standaard"/>
    <w:qFormat/>
    <w:rsid w:val="00927C4D"/>
    <w:pPr>
      <w:keepNext/>
      <w:keepLines/>
      <w:suppressAutoHyphens/>
      <w:spacing w:before="300"/>
    </w:pPr>
    <w:rPr>
      <w:b/>
    </w:rPr>
  </w:style>
  <w:style w:type="character" w:styleId="Onopgelostemelding">
    <w:name w:val="Unresolved Mention"/>
    <w:basedOn w:val="Standaardalinea-lettertype"/>
    <w:uiPriority w:val="99"/>
    <w:semiHidden/>
    <w:rsid w:val="00F7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GIS">
      <a:dk1>
        <a:sysClr val="windowText" lastClr="000000"/>
      </a:dk1>
      <a:lt1>
        <a:sysClr val="window" lastClr="FFFFFF"/>
      </a:lt1>
      <a:dk2>
        <a:srgbClr val="54545A"/>
      </a:dk2>
      <a:lt2>
        <a:srgbClr val="FFFFFF"/>
      </a:lt2>
      <a:accent1>
        <a:srgbClr val="641409"/>
      </a:accent1>
      <a:accent2>
        <a:srgbClr val="60C4E0"/>
      </a:accent2>
      <a:accent3>
        <a:srgbClr val="D70036"/>
      </a:accent3>
      <a:accent4>
        <a:srgbClr val="FFB819"/>
      </a:accent4>
      <a:accent5>
        <a:srgbClr val="00548B"/>
      </a:accent5>
      <a:accent6>
        <a:srgbClr val="007934"/>
      </a:accent6>
      <a:hlink>
        <a:srgbClr val="0077C8"/>
      </a:hlink>
      <a:folHlink>
        <a:srgbClr val="60C4E0"/>
      </a:folHlink>
    </a:clrScheme>
    <a:fontScheme name="AGIS">
      <a:majorFont>
        <a:latin typeface="Titillium Web"/>
        <a:ea typeface=""/>
        <a:cs typeface=""/>
      </a:majorFont>
      <a:minorFont>
        <a:latin typeface="Titillium Web"/>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 dockstate="right" visibility="0" width="350" row="8">
    <wetp:webextensionref xmlns:r="http://schemas.openxmlformats.org/officeDocument/2006/relationships" r:id="rId3"/>
  </wetp:taskpane>
  <wetp:taskpane dockstate="right" visibility="0" width="350" row="9">
    <wetp:webextensionref xmlns:r="http://schemas.openxmlformats.org/officeDocument/2006/relationships" r:id="rId4"/>
  </wetp:taskpane>
  <wetp:taskpane dockstate="right" visibility="0" width="350" row="10">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44815E41-0270-4098-B2C1-57797210B8F5}">
  <we:reference id="wa104379118" version="1.0.0.0" store="en-US" storeType="OMEX"/>
  <we:alternateReferences>
    <we:reference id="WA104379118" version="1.0.0.0" store="WA1043791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22785AA-F277-4EF7-971A-E12B101B19DA}">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725E927C-949D-4E0D-A450-2B3049DAE42D}">
  <we:reference id="wa104380747" version="1.0.0.2" store="en-US" storeType="OMEX"/>
  <we:alternateReferences>
    <we:reference id="WA104380747" version="1.0.0.2" store="WA10438074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4AA40854-A146-4BE2-ADFF-F0D32A70591D}">
  <we:reference id="wa104178141" version="3.1.0.23" store="en-US" storeType="OMEX"/>
  <we:alternateReferences>
    <we:reference id="WA104178141" version="3.1.0.23" store="WA104178141"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B0BD44F3-441D-46C4-8047-A256FFFE1810}">
  <we:reference id="wa104380153" version="1.8.0.0" store="en-US" storeType="OMEX"/>
  <we:alternateReferences>
    <we:reference id="WA104380153" version="1.8.0.0" store="WA10438015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27</TotalTime>
  <Pages>11</Pages>
  <Words>2686</Words>
  <Characters>14779</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Agis Innovatiefonds - Annemarie Kuiper</cp:lastModifiedBy>
  <cp:revision>6</cp:revision>
  <cp:lastPrinted>2024-05-27T09:03:00Z</cp:lastPrinted>
  <dcterms:created xsi:type="dcterms:W3CDTF">2024-05-27T09:04:00Z</dcterms:created>
  <dcterms:modified xsi:type="dcterms:W3CDTF">2024-10-15T12:26:00Z</dcterms:modified>
</cp:coreProperties>
</file>